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4AF" w:rsidRDefault="007134AF" w:rsidP="00CA2B97">
      <w:pPr>
        <w:ind w:right="-330"/>
        <w:jc w:val="center"/>
        <w:rPr>
          <w:b/>
          <w:sz w:val="40"/>
          <w:szCs w:val="40"/>
        </w:rPr>
      </w:pPr>
      <w:r>
        <w:rPr>
          <w:b/>
          <w:sz w:val="40"/>
          <w:szCs w:val="40"/>
        </w:rPr>
        <w:t>SOUTH LANARKSHIRE COMMUNITY PLANNING PARTNERSHIP</w:t>
      </w:r>
    </w:p>
    <w:p w:rsidR="007134AF" w:rsidRDefault="007134AF" w:rsidP="00712606">
      <w:pPr>
        <w:jc w:val="center"/>
        <w:rPr>
          <w:b/>
          <w:sz w:val="40"/>
          <w:szCs w:val="40"/>
        </w:rPr>
      </w:pPr>
    </w:p>
    <w:p w:rsidR="00712606" w:rsidRPr="00BD2F35" w:rsidRDefault="00C948FE" w:rsidP="00712606">
      <w:pPr>
        <w:jc w:val="center"/>
        <w:rPr>
          <w:b/>
          <w:sz w:val="40"/>
          <w:szCs w:val="40"/>
        </w:rPr>
      </w:pPr>
      <w:r>
        <w:rPr>
          <w:b/>
          <w:sz w:val="40"/>
          <w:szCs w:val="40"/>
        </w:rPr>
        <w:t>PARTNERSHIP</w:t>
      </w:r>
      <w:r w:rsidR="00712606" w:rsidRPr="00BD2F35">
        <w:rPr>
          <w:b/>
          <w:sz w:val="40"/>
          <w:szCs w:val="40"/>
        </w:rPr>
        <w:t xml:space="preserve"> IMPROVEMENT PLAN</w:t>
      </w:r>
    </w:p>
    <w:p w:rsidR="009535F1" w:rsidRDefault="00636DF8" w:rsidP="00712606">
      <w:pPr>
        <w:jc w:val="center"/>
        <w:rPr>
          <w:b/>
          <w:sz w:val="40"/>
          <w:szCs w:val="40"/>
        </w:rPr>
      </w:pPr>
      <w:r>
        <w:rPr>
          <w:b/>
          <w:sz w:val="40"/>
          <w:szCs w:val="40"/>
        </w:rPr>
        <w:t>2017-</w:t>
      </w:r>
      <w:r w:rsidR="008E3174">
        <w:rPr>
          <w:b/>
          <w:sz w:val="40"/>
          <w:szCs w:val="40"/>
        </w:rPr>
        <w:t>2020</w:t>
      </w:r>
    </w:p>
    <w:p w:rsidR="009535F1" w:rsidRDefault="009535F1" w:rsidP="00712606">
      <w:pPr>
        <w:jc w:val="center"/>
        <w:rPr>
          <w:b/>
          <w:sz w:val="40"/>
          <w:szCs w:val="40"/>
        </w:rPr>
      </w:pPr>
    </w:p>
    <w:p w:rsidR="00712606" w:rsidRPr="00BD2F35" w:rsidRDefault="003E050F" w:rsidP="00712606">
      <w:pPr>
        <w:jc w:val="center"/>
        <w:rPr>
          <w:b/>
          <w:sz w:val="40"/>
          <w:szCs w:val="40"/>
        </w:rPr>
      </w:pPr>
      <w:r>
        <w:rPr>
          <w:b/>
          <w:sz w:val="40"/>
          <w:szCs w:val="40"/>
        </w:rPr>
        <w:t>Health and</w:t>
      </w:r>
      <w:r w:rsidR="00712606">
        <w:rPr>
          <w:b/>
          <w:sz w:val="40"/>
          <w:szCs w:val="40"/>
        </w:rPr>
        <w:t xml:space="preserve"> Social Care Partnership</w:t>
      </w:r>
    </w:p>
    <w:p w:rsidR="00712606" w:rsidRDefault="00712606" w:rsidP="00712606">
      <w:pPr>
        <w:jc w:val="center"/>
        <w:rPr>
          <w:b/>
          <w:sz w:val="40"/>
          <w:szCs w:val="40"/>
        </w:rPr>
      </w:pPr>
    </w:p>
    <w:p w:rsidR="00712606" w:rsidRPr="00D97E77" w:rsidRDefault="00712606" w:rsidP="00712606">
      <w:pPr>
        <w:jc w:val="center"/>
        <w:rPr>
          <w:b/>
          <w:sz w:val="40"/>
          <w:szCs w:val="40"/>
        </w:rPr>
      </w:pPr>
      <w:r w:rsidRPr="00D97E77">
        <w:rPr>
          <w:b/>
          <w:sz w:val="40"/>
          <w:szCs w:val="40"/>
        </w:rPr>
        <w:t>VISION</w:t>
      </w:r>
    </w:p>
    <w:p w:rsidR="00712606" w:rsidRDefault="00712606" w:rsidP="00712606">
      <w:pPr>
        <w:jc w:val="center"/>
        <w:rPr>
          <w:b/>
          <w:sz w:val="40"/>
          <w:szCs w:val="40"/>
        </w:rPr>
      </w:pPr>
    </w:p>
    <w:p w:rsidR="009920E2" w:rsidRDefault="009920E2" w:rsidP="00712606">
      <w:pPr>
        <w:jc w:val="center"/>
        <w:rPr>
          <w:b/>
          <w:sz w:val="40"/>
          <w:szCs w:val="40"/>
        </w:rPr>
      </w:pPr>
    </w:p>
    <w:p w:rsidR="009920E2" w:rsidRPr="00D97E77" w:rsidRDefault="009920E2" w:rsidP="00712606">
      <w:pPr>
        <w:jc w:val="center"/>
        <w:rPr>
          <w:b/>
          <w:sz w:val="40"/>
          <w:szCs w:val="40"/>
        </w:rPr>
      </w:pPr>
    </w:p>
    <w:p w:rsidR="00712606" w:rsidRPr="00BD2F35" w:rsidRDefault="00712606" w:rsidP="00712606">
      <w:pPr>
        <w:jc w:val="center"/>
        <w:rPr>
          <w:i/>
          <w:sz w:val="40"/>
          <w:szCs w:val="40"/>
        </w:rPr>
      </w:pPr>
      <w:r w:rsidRPr="00BD2F35">
        <w:rPr>
          <w:i/>
          <w:sz w:val="40"/>
          <w:szCs w:val="40"/>
        </w:rPr>
        <w:t>To improve the quality of life for all in South Lanarkshire by ensuring equal access to opportunities and to ser</w:t>
      </w:r>
      <w:r w:rsidR="00533B63">
        <w:rPr>
          <w:i/>
          <w:sz w:val="40"/>
          <w:szCs w:val="40"/>
        </w:rPr>
        <w:t>vices that meet people's needs</w:t>
      </w:r>
      <w:r w:rsidRPr="00BD2F35">
        <w:rPr>
          <w:i/>
          <w:sz w:val="40"/>
          <w:szCs w:val="40"/>
        </w:rPr>
        <w:t> </w:t>
      </w:r>
    </w:p>
    <w:p w:rsidR="00712606" w:rsidRDefault="00712606" w:rsidP="00712606">
      <w:pPr>
        <w:jc w:val="center"/>
        <w:rPr>
          <w:b/>
          <w:sz w:val="28"/>
          <w:szCs w:val="28"/>
        </w:rPr>
      </w:pPr>
    </w:p>
    <w:p w:rsidR="009920E2" w:rsidRDefault="009920E2" w:rsidP="00712606">
      <w:pPr>
        <w:jc w:val="center"/>
        <w:rPr>
          <w:b/>
          <w:sz w:val="28"/>
          <w:szCs w:val="28"/>
        </w:rPr>
      </w:pPr>
    </w:p>
    <w:p w:rsidR="009920E2" w:rsidRDefault="009920E2" w:rsidP="00712606">
      <w:pPr>
        <w:jc w:val="center"/>
        <w:rPr>
          <w:b/>
          <w:sz w:val="28"/>
          <w:szCs w:val="28"/>
        </w:rPr>
      </w:pPr>
    </w:p>
    <w:p w:rsidR="00712606" w:rsidRDefault="00712606" w:rsidP="00712606">
      <w:pPr>
        <w:jc w:val="center"/>
        <w:rPr>
          <w:b/>
          <w:sz w:val="28"/>
          <w:szCs w:val="28"/>
        </w:rPr>
      </w:pPr>
      <w:r w:rsidRPr="00BD2F35">
        <w:rPr>
          <w:b/>
          <w:noProof/>
          <w:sz w:val="28"/>
          <w:szCs w:val="28"/>
          <w:lang w:val="en-GB" w:eastAsia="en-GB" w:bidi="ar-SA"/>
        </w:rPr>
        <w:drawing>
          <wp:inline distT="0" distB="0" distL="0" distR="0">
            <wp:extent cx="3911237" cy="2631589"/>
            <wp:effectExtent l="19050" t="0" r="0" b="0"/>
            <wp:docPr id="1" name="Picture 23" descr="Community Planning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mmunity Planning CMYK"/>
                    <pic:cNvPicPr>
                      <a:picLocks noChangeAspect="1" noChangeArrowheads="1"/>
                    </pic:cNvPicPr>
                  </pic:nvPicPr>
                  <pic:blipFill>
                    <a:blip r:embed="rId8" cstate="print"/>
                    <a:srcRect/>
                    <a:stretch>
                      <a:fillRect/>
                    </a:stretch>
                  </pic:blipFill>
                  <pic:spPr bwMode="auto">
                    <a:xfrm>
                      <a:off x="0" y="0"/>
                      <a:ext cx="3907239" cy="2628899"/>
                    </a:xfrm>
                    <a:prstGeom prst="rect">
                      <a:avLst/>
                    </a:prstGeom>
                    <a:noFill/>
                    <a:ln w="9525">
                      <a:noFill/>
                      <a:miter lim="800000"/>
                      <a:headEnd/>
                      <a:tailEnd/>
                    </a:ln>
                  </pic:spPr>
                </pic:pic>
              </a:graphicData>
            </a:graphic>
          </wp:inline>
        </w:drawing>
      </w:r>
    </w:p>
    <w:p w:rsidR="00712606" w:rsidRDefault="00712606" w:rsidP="00712606">
      <w:pPr>
        <w:rPr>
          <w:b/>
          <w:sz w:val="28"/>
          <w:szCs w:val="28"/>
        </w:rPr>
      </w:pPr>
    </w:p>
    <w:p w:rsidR="00A72AE6" w:rsidRPr="001F66DE" w:rsidRDefault="00A72AE6" w:rsidP="00A72AE6">
      <w:pPr>
        <w:ind w:firstLine="360"/>
        <w:jc w:val="center"/>
        <w:rPr>
          <w:rFonts w:cs="Arial"/>
          <w:b/>
          <w:sz w:val="36"/>
          <w:szCs w:val="36"/>
        </w:rPr>
      </w:pPr>
      <w:r w:rsidRPr="001F66DE">
        <w:rPr>
          <w:rFonts w:cs="Arial"/>
          <w:b/>
          <w:sz w:val="36"/>
          <w:szCs w:val="36"/>
        </w:rPr>
        <w:br w:type="page"/>
      </w:r>
    </w:p>
    <w:p w:rsidR="00A72AE6" w:rsidRDefault="00A72AE6" w:rsidP="00A72AE6">
      <w:pPr>
        <w:rPr>
          <w:rFonts w:cs="Arial"/>
          <w:b/>
          <w:sz w:val="28"/>
          <w:szCs w:val="28"/>
        </w:rPr>
      </w:pPr>
      <w:r w:rsidRPr="00891B4C">
        <w:rPr>
          <w:rFonts w:cs="Arial"/>
          <w:b/>
          <w:sz w:val="28"/>
          <w:szCs w:val="28"/>
        </w:rPr>
        <w:lastRenderedPageBreak/>
        <w:t>South Lanarkshire H</w:t>
      </w:r>
      <w:r>
        <w:rPr>
          <w:rFonts w:cs="Arial"/>
          <w:b/>
          <w:sz w:val="28"/>
          <w:szCs w:val="28"/>
        </w:rPr>
        <w:t xml:space="preserve">ealth and Social Care </w:t>
      </w:r>
      <w:r w:rsidR="005F718E">
        <w:rPr>
          <w:rFonts w:cs="Arial"/>
          <w:b/>
          <w:sz w:val="28"/>
          <w:szCs w:val="28"/>
        </w:rPr>
        <w:t>PIP</w:t>
      </w:r>
      <w:r>
        <w:rPr>
          <w:rFonts w:cs="Arial"/>
          <w:b/>
          <w:sz w:val="28"/>
          <w:szCs w:val="28"/>
        </w:rPr>
        <w:t xml:space="preserve"> </w:t>
      </w:r>
    </w:p>
    <w:p w:rsidR="003D5F33" w:rsidRPr="003D5F33" w:rsidRDefault="003D5F33" w:rsidP="003D5F33">
      <w:pPr>
        <w:rPr>
          <w:rFonts w:cs="Arial"/>
          <w:sz w:val="16"/>
          <w:szCs w:val="16"/>
        </w:rPr>
      </w:pPr>
    </w:p>
    <w:p w:rsidR="005F718E" w:rsidRPr="00BE0048" w:rsidRDefault="005F718E" w:rsidP="008570FB">
      <w:pPr>
        <w:pStyle w:val="ListParagraph"/>
        <w:numPr>
          <w:ilvl w:val="0"/>
          <w:numId w:val="38"/>
        </w:numPr>
        <w:ind w:left="426" w:hanging="426"/>
        <w:rPr>
          <w:rFonts w:cs="Arial"/>
          <w:b/>
          <w:sz w:val="24"/>
          <w:szCs w:val="24"/>
        </w:rPr>
      </w:pPr>
      <w:r w:rsidRPr="00BE0048">
        <w:rPr>
          <w:rFonts w:cs="Arial"/>
          <w:b/>
          <w:sz w:val="24"/>
          <w:szCs w:val="24"/>
        </w:rPr>
        <w:t>Poverty</w:t>
      </w:r>
      <w:r w:rsidR="008C0A1A" w:rsidRPr="00BE0048">
        <w:rPr>
          <w:rFonts w:cs="Arial"/>
          <w:b/>
          <w:sz w:val="24"/>
          <w:szCs w:val="24"/>
        </w:rPr>
        <w:t>,</w:t>
      </w:r>
      <w:r w:rsidRPr="00BE0048">
        <w:rPr>
          <w:rFonts w:cs="Arial"/>
          <w:b/>
          <w:sz w:val="24"/>
          <w:szCs w:val="24"/>
        </w:rPr>
        <w:t xml:space="preserve"> Deprivation and Inequality</w:t>
      </w:r>
    </w:p>
    <w:p w:rsidR="003D5F33" w:rsidRPr="003D5F33" w:rsidRDefault="003D5F33" w:rsidP="003D5F33">
      <w:pPr>
        <w:rPr>
          <w:rFonts w:cs="Arial"/>
        </w:rPr>
      </w:pPr>
      <w:r w:rsidRPr="003D5F33">
        <w:rPr>
          <w:rFonts w:cs="Arial"/>
        </w:rPr>
        <w:t xml:space="preserve">In recognition of the importance </w:t>
      </w:r>
      <w:r w:rsidR="004C43C0">
        <w:rPr>
          <w:rFonts w:cs="Arial"/>
        </w:rPr>
        <w:t xml:space="preserve">of </w:t>
      </w:r>
      <w:r w:rsidRPr="003D5F33">
        <w:rPr>
          <w:rFonts w:cs="Arial"/>
        </w:rPr>
        <w:t>good health and wellbeing both indivi</w:t>
      </w:r>
      <w:r w:rsidR="001F696B">
        <w:rPr>
          <w:rFonts w:cs="Arial"/>
        </w:rPr>
        <w:t>dually and within communities, H</w:t>
      </w:r>
      <w:r w:rsidRPr="003D5F33">
        <w:rPr>
          <w:rFonts w:cs="Arial"/>
        </w:rPr>
        <w:t xml:space="preserve">ealth and </w:t>
      </w:r>
      <w:r w:rsidR="001F696B">
        <w:rPr>
          <w:rFonts w:cs="Arial"/>
        </w:rPr>
        <w:t>Social C</w:t>
      </w:r>
      <w:r w:rsidRPr="003D5F33">
        <w:rPr>
          <w:rFonts w:cs="Arial"/>
        </w:rPr>
        <w:t xml:space="preserve">are has been a key pillar of Community Planning in South Lanarkshire over the last 10 years.    </w:t>
      </w:r>
    </w:p>
    <w:p w:rsidR="003D5F33" w:rsidRPr="003D5F33" w:rsidRDefault="003D5F33" w:rsidP="003D5F33">
      <w:pPr>
        <w:rPr>
          <w:rFonts w:cs="Arial"/>
          <w:sz w:val="16"/>
          <w:szCs w:val="16"/>
        </w:rPr>
      </w:pPr>
    </w:p>
    <w:p w:rsidR="003D5F33" w:rsidRPr="003D5F33" w:rsidRDefault="001F696B" w:rsidP="003D5F33">
      <w:pPr>
        <w:rPr>
          <w:rFonts w:cs="Arial"/>
        </w:rPr>
      </w:pPr>
      <w:r>
        <w:rPr>
          <w:rFonts w:cs="Arial"/>
        </w:rPr>
        <w:t>The strategic environment for H</w:t>
      </w:r>
      <w:r w:rsidR="003D5F33" w:rsidRPr="003D5F33">
        <w:rPr>
          <w:rFonts w:cs="Arial"/>
        </w:rPr>
        <w:t xml:space="preserve">ealth and </w:t>
      </w:r>
      <w:r>
        <w:rPr>
          <w:rFonts w:cs="Arial"/>
        </w:rPr>
        <w:t>Social C</w:t>
      </w:r>
      <w:r w:rsidR="003D5F33" w:rsidRPr="003D5F33">
        <w:rPr>
          <w:rFonts w:cs="Arial"/>
        </w:rPr>
        <w:t xml:space="preserve">are has undergone significant change over recent years, mainly resulting from the impact of the Public Bodies (Joint Working) (Scotland) Act 2014, whereby elements of </w:t>
      </w:r>
      <w:r>
        <w:rPr>
          <w:rFonts w:cs="Arial"/>
        </w:rPr>
        <w:t>Health and S</w:t>
      </w:r>
      <w:r w:rsidR="003D5F33" w:rsidRPr="003D5F33">
        <w:rPr>
          <w:rFonts w:cs="Arial"/>
        </w:rPr>
        <w:t xml:space="preserve">ocial </w:t>
      </w:r>
      <w:r>
        <w:rPr>
          <w:rFonts w:cs="Arial"/>
        </w:rPr>
        <w:t>C</w:t>
      </w:r>
      <w:r w:rsidR="003D5F33" w:rsidRPr="003D5F33">
        <w:rPr>
          <w:rFonts w:cs="Arial"/>
        </w:rPr>
        <w:t xml:space="preserve">are were required to integrate from the viewpoint of strategic planning and operational delivery.  As a result, </w:t>
      </w:r>
      <w:r>
        <w:rPr>
          <w:rFonts w:cs="Arial"/>
        </w:rPr>
        <w:t>Health and S</w:t>
      </w:r>
      <w:r w:rsidR="003D5F33" w:rsidRPr="003D5F33">
        <w:rPr>
          <w:rFonts w:cs="Arial"/>
        </w:rPr>
        <w:t xml:space="preserve">ocial </w:t>
      </w:r>
      <w:r>
        <w:rPr>
          <w:rFonts w:cs="Arial"/>
        </w:rPr>
        <w:t>C</w:t>
      </w:r>
      <w:r w:rsidR="003D5F33" w:rsidRPr="003D5F33">
        <w:rPr>
          <w:rFonts w:cs="Arial"/>
        </w:rPr>
        <w:t>are is now coordinated through the South Lanarkshire Integration Joint Board (IJB), whose membership includes representation from:</w:t>
      </w:r>
    </w:p>
    <w:p w:rsidR="003D5F33" w:rsidRPr="003D5F33" w:rsidRDefault="003D5F33" w:rsidP="003D5F33">
      <w:pPr>
        <w:rPr>
          <w:rFonts w:cs="Arial"/>
          <w:sz w:val="16"/>
          <w:szCs w:val="16"/>
        </w:rPr>
      </w:pPr>
    </w:p>
    <w:p w:rsidR="003D5F33" w:rsidRPr="003D5F33" w:rsidRDefault="003D5F33" w:rsidP="003D5F33">
      <w:pPr>
        <w:pStyle w:val="ListParagraph"/>
        <w:numPr>
          <w:ilvl w:val="0"/>
          <w:numId w:val="23"/>
        </w:numPr>
        <w:rPr>
          <w:rFonts w:cs="Arial"/>
        </w:rPr>
      </w:pPr>
      <w:r w:rsidRPr="003D5F33">
        <w:rPr>
          <w:rFonts w:cs="Arial"/>
        </w:rPr>
        <w:t>South Lanarkshire Council</w:t>
      </w:r>
      <w:r w:rsidR="006E771A">
        <w:rPr>
          <w:rFonts w:cs="Arial"/>
        </w:rPr>
        <w:t>;</w:t>
      </w:r>
    </w:p>
    <w:p w:rsidR="003D5F33" w:rsidRPr="003D5F33" w:rsidRDefault="003D5F33" w:rsidP="003D5F33">
      <w:pPr>
        <w:pStyle w:val="ListParagraph"/>
        <w:numPr>
          <w:ilvl w:val="0"/>
          <w:numId w:val="23"/>
        </w:numPr>
        <w:rPr>
          <w:rFonts w:cs="Arial"/>
        </w:rPr>
      </w:pPr>
      <w:r w:rsidRPr="003D5F33">
        <w:rPr>
          <w:rFonts w:cs="Arial"/>
        </w:rPr>
        <w:t>NHS Lanarkshire</w:t>
      </w:r>
      <w:r w:rsidR="006E771A">
        <w:rPr>
          <w:rFonts w:cs="Arial"/>
        </w:rPr>
        <w:t>;</w:t>
      </w:r>
    </w:p>
    <w:p w:rsidR="003D5F33" w:rsidRPr="003D5F33" w:rsidRDefault="003D5F33" w:rsidP="003D5F33">
      <w:pPr>
        <w:pStyle w:val="ListParagraph"/>
        <w:numPr>
          <w:ilvl w:val="0"/>
          <w:numId w:val="23"/>
        </w:numPr>
        <w:rPr>
          <w:rFonts w:cs="Arial"/>
        </w:rPr>
      </w:pPr>
      <w:r w:rsidRPr="003D5F33">
        <w:rPr>
          <w:rFonts w:cs="Arial"/>
        </w:rPr>
        <w:t>Independent Sector</w:t>
      </w:r>
      <w:r w:rsidR="006E771A">
        <w:rPr>
          <w:rFonts w:cs="Arial"/>
        </w:rPr>
        <w:t>;</w:t>
      </w:r>
    </w:p>
    <w:p w:rsidR="003D5F33" w:rsidRPr="003D5F33" w:rsidRDefault="003D5F33" w:rsidP="003D5F33">
      <w:pPr>
        <w:pStyle w:val="ListParagraph"/>
        <w:numPr>
          <w:ilvl w:val="0"/>
          <w:numId w:val="23"/>
        </w:numPr>
        <w:rPr>
          <w:rFonts w:cs="Arial"/>
        </w:rPr>
      </w:pPr>
      <w:r w:rsidRPr="003D5F33">
        <w:rPr>
          <w:rFonts w:cs="Arial"/>
        </w:rPr>
        <w:t>Voluntary Sector</w:t>
      </w:r>
      <w:r w:rsidR="006E771A">
        <w:rPr>
          <w:rFonts w:cs="Arial"/>
        </w:rPr>
        <w:t>;</w:t>
      </w:r>
    </w:p>
    <w:p w:rsidR="003D5F33" w:rsidRPr="003D5F33" w:rsidRDefault="003D5F33" w:rsidP="003D5F33">
      <w:pPr>
        <w:pStyle w:val="ListParagraph"/>
        <w:numPr>
          <w:ilvl w:val="0"/>
          <w:numId w:val="23"/>
        </w:numPr>
        <w:rPr>
          <w:rFonts w:cs="Arial"/>
        </w:rPr>
      </w:pPr>
      <w:r w:rsidRPr="003D5F33">
        <w:rPr>
          <w:rFonts w:cs="Arial"/>
        </w:rPr>
        <w:t>Carers</w:t>
      </w:r>
      <w:r w:rsidR="006E771A">
        <w:rPr>
          <w:rFonts w:cs="Arial"/>
        </w:rPr>
        <w:t>;</w:t>
      </w:r>
    </w:p>
    <w:p w:rsidR="003D5F33" w:rsidRPr="003D5F33" w:rsidRDefault="003D5F33" w:rsidP="003D5F33">
      <w:pPr>
        <w:pStyle w:val="ListParagraph"/>
        <w:numPr>
          <w:ilvl w:val="0"/>
          <w:numId w:val="23"/>
        </w:numPr>
        <w:rPr>
          <w:rFonts w:cs="Arial"/>
        </w:rPr>
      </w:pPr>
      <w:r w:rsidRPr="003D5F33">
        <w:rPr>
          <w:rFonts w:cs="Arial"/>
        </w:rPr>
        <w:t>Public Partnership Forum</w:t>
      </w:r>
      <w:r w:rsidR="006E771A">
        <w:rPr>
          <w:rFonts w:cs="Arial"/>
        </w:rPr>
        <w:t>; and</w:t>
      </w:r>
    </w:p>
    <w:p w:rsidR="003D5F33" w:rsidRPr="003D5F33" w:rsidRDefault="003D5F33" w:rsidP="003D5F33">
      <w:pPr>
        <w:pStyle w:val="ListParagraph"/>
        <w:numPr>
          <w:ilvl w:val="0"/>
          <w:numId w:val="23"/>
        </w:numPr>
        <w:rPr>
          <w:rFonts w:cs="Arial"/>
        </w:rPr>
      </w:pPr>
      <w:r w:rsidRPr="003D5F33">
        <w:rPr>
          <w:rFonts w:cs="Arial"/>
        </w:rPr>
        <w:t>Trade Unions</w:t>
      </w:r>
      <w:r w:rsidR="006E771A">
        <w:rPr>
          <w:rFonts w:cs="Arial"/>
        </w:rPr>
        <w:t>.</w:t>
      </w:r>
    </w:p>
    <w:p w:rsidR="003D5F33" w:rsidRPr="003D5F33" w:rsidRDefault="003D5F33" w:rsidP="003D5F33">
      <w:pPr>
        <w:rPr>
          <w:rFonts w:cs="Arial"/>
          <w:sz w:val="16"/>
          <w:szCs w:val="16"/>
        </w:rPr>
      </w:pPr>
    </w:p>
    <w:p w:rsidR="003D5F33" w:rsidRPr="003D5F33" w:rsidRDefault="003D5F33" w:rsidP="003D5F33">
      <w:pPr>
        <w:rPr>
          <w:rFonts w:cs="Arial"/>
        </w:rPr>
      </w:pPr>
      <w:r w:rsidRPr="003D5F33">
        <w:rPr>
          <w:rFonts w:cs="Arial"/>
        </w:rPr>
        <w:t>Collectively, and under the direction of the IJB, the South Lanarkshire Health and Social Care Pa</w:t>
      </w:r>
      <w:r w:rsidR="008E1EA0">
        <w:rPr>
          <w:rFonts w:cs="Arial"/>
        </w:rPr>
        <w:t>rtnership (SLHSCP) worked with p</w:t>
      </w:r>
      <w:r w:rsidRPr="003D5F33">
        <w:rPr>
          <w:rFonts w:cs="Arial"/>
        </w:rPr>
        <w:t>artners in localiti</w:t>
      </w:r>
      <w:r w:rsidR="00DE1051">
        <w:rPr>
          <w:rFonts w:cs="Arial"/>
        </w:rPr>
        <w:t xml:space="preserve">es to agree a vision as detailed below in our </w:t>
      </w:r>
      <w:r w:rsidR="001F696B">
        <w:rPr>
          <w:rFonts w:cs="Arial"/>
        </w:rPr>
        <w:t>S</w:t>
      </w:r>
      <w:r w:rsidR="00DE1051">
        <w:rPr>
          <w:rFonts w:cs="Arial"/>
        </w:rPr>
        <w:t>tatement</w:t>
      </w:r>
      <w:r w:rsidR="001F696B">
        <w:rPr>
          <w:rFonts w:cs="Arial"/>
        </w:rPr>
        <w:t xml:space="preserve"> of A</w:t>
      </w:r>
      <w:r w:rsidR="00DE1051">
        <w:rPr>
          <w:rFonts w:cs="Arial"/>
        </w:rPr>
        <w:t>mbition.</w:t>
      </w:r>
    </w:p>
    <w:p w:rsidR="003D5F33" w:rsidRPr="003D5F33" w:rsidRDefault="003D5F33" w:rsidP="003D5F33">
      <w:pPr>
        <w:rPr>
          <w:rFonts w:cs="Arial"/>
          <w:sz w:val="16"/>
          <w:szCs w:val="16"/>
        </w:rPr>
      </w:pPr>
    </w:p>
    <w:p w:rsidR="00DE1051" w:rsidRPr="004757DF" w:rsidRDefault="00600244" w:rsidP="00F5423A">
      <w:pPr>
        <w:rPr>
          <w:rFonts w:asciiTheme="minorHAnsi" w:hAnsiTheme="minorHAnsi" w:cstheme="minorHAnsi"/>
          <w:b/>
        </w:rPr>
      </w:pPr>
      <w:r>
        <w:t>Poverty deprivation and inequality are often the underlying determinants of w</w:t>
      </w:r>
      <w:r w:rsidR="00DE1051" w:rsidRPr="001E4EBD">
        <w:t>he</w:t>
      </w:r>
      <w:r>
        <w:t>th</w:t>
      </w:r>
      <w:r w:rsidR="005F718E">
        <w:t xml:space="preserve">er people are healthy or not.  </w:t>
      </w:r>
      <w:r>
        <w:t xml:space="preserve">This </w:t>
      </w:r>
      <w:r w:rsidR="00DE1051" w:rsidRPr="001E4EBD">
        <w:t xml:space="preserve">is determined by their </w:t>
      </w:r>
      <w:r w:rsidR="00DE1051">
        <w:t xml:space="preserve">social and economic </w:t>
      </w:r>
      <w:r w:rsidR="00DE1051" w:rsidRPr="001E4EBD">
        <w:t xml:space="preserve">circumstances and </w:t>
      </w:r>
      <w:r w:rsidR="00DE1051">
        <w:t xml:space="preserve">wider </w:t>
      </w:r>
      <w:r w:rsidR="00DE1051" w:rsidRPr="001E4EBD">
        <w:t>e</w:t>
      </w:r>
      <w:r w:rsidR="00DE1051">
        <w:t xml:space="preserve">nvironment. </w:t>
      </w:r>
      <w:r w:rsidR="00787980">
        <w:t xml:space="preserve"> </w:t>
      </w:r>
      <w:r w:rsidR="00DE1051">
        <w:t>F</w:t>
      </w:r>
      <w:r w:rsidR="00DE1051" w:rsidRPr="001E4EBD">
        <w:t>actors such as where we live, genetics, income, education, gender, social networks and access to health care services, all have</w:t>
      </w:r>
      <w:r w:rsidR="00DE1051">
        <w:t xml:space="preserve"> considerable impacts on health and can </w:t>
      </w:r>
      <w:r w:rsidR="00DE1051" w:rsidRPr="001E4EBD">
        <w:t>also co</w:t>
      </w:r>
      <w:r w:rsidR="00DE1051">
        <w:t>ntribute to health inequality.</w:t>
      </w:r>
    </w:p>
    <w:p w:rsidR="00DE1051" w:rsidRPr="00DE1051" w:rsidRDefault="00DE1051" w:rsidP="00F5423A">
      <w:pPr>
        <w:pStyle w:val="NormalWeb"/>
        <w:shd w:val="clear" w:color="auto" w:fill="FFFFFF"/>
        <w:rPr>
          <w:rFonts w:ascii="Arial" w:hAnsi="Arial" w:cs="Arial"/>
          <w:sz w:val="22"/>
          <w:szCs w:val="22"/>
        </w:rPr>
      </w:pPr>
      <w:r w:rsidRPr="00DE1051">
        <w:rPr>
          <w:rFonts w:ascii="Arial" w:eastAsia="Calibri" w:hAnsi="Arial" w:cs="Arial"/>
          <w:sz w:val="22"/>
          <w:szCs w:val="22"/>
          <w:lang w:eastAsia="en-US"/>
        </w:rPr>
        <w:t xml:space="preserve">The context of people’s lives determine their health and lifestyle choices. </w:t>
      </w:r>
      <w:r w:rsidR="00F5423A">
        <w:rPr>
          <w:rFonts w:ascii="Arial" w:eastAsia="Calibri" w:hAnsi="Arial" w:cs="Arial"/>
          <w:sz w:val="22"/>
          <w:szCs w:val="22"/>
          <w:lang w:eastAsia="en-US"/>
        </w:rPr>
        <w:t xml:space="preserve"> </w:t>
      </w:r>
      <w:r w:rsidRPr="00DE1051">
        <w:rPr>
          <w:rFonts w:ascii="Arial" w:eastAsia="Calibri" w:hAnsi="Arial" w:cs="Arial"/>
          <w:sz w:val="22"/>
          <w:szCs w:val="22"/>
          <w:lang w:eastAsia="en-US"/>
        </w:rPr>
        <w:t>Individuals are unlikely to be able to directly control many of the determinants of health</w:t>
      </w:r>
      <w:r w:rsidR="001B1C9F">
        <w:rPr>
          <w:rFonts w:ascii="Arial" w:eastAsia="Calibri" w:hAnsi="Arial" w:cs="Arial"/>
          <w:sz w:val="22"/>
          <w:szCs w:val="22"/>
          <w:lang w:eastAsia="en-US"/>
        </w:rPr>
        <w:t xml:space="preserve"> and this</w:t>
      </w:r>
      <w:r w:rsidRPr="00DE1051">
        <w:rPr>
          <w:rFonts w:ascii="Arial" w:eastAsia="Calibri" w:hAnsi="Arial" w:cs="Arial"/>
          <w:sz w:val="22"/>
          <w:szCs w:val="22"/>
          <w:lang w:eastAsia="en-US"/>
        </w:rPr>
        <w:t xml:space="preserve"> contribute</w:t>
      </w:r>
      <w:r w:rsidR="001B1C9F">
        <w:rPr>
          <w:rFonts w:ascii="Arial" w:eastAsia="Calibri" w:hAnsi="Arial" w:cs="Arial"/>
          <w:sz w:val="22"/>
          <w:szCs w:val="22"/>
          <w:lang w:eastAsia="en-US"/>
        </w:rPr>
        <w:t>s</w:t>
      </w:r>
      <w:r w:rsidRPr="00DE1051">
        <w:rPr>
          <w:rFonts w:ascii="Arial" w:eastAsia="Calibri" w:hAnsi="Arial" w:cs="Arial"/>
          <w:sz w:val="22"/>
          <w:szCs w:val="22"/>
          <w:lang w:eastAsia="en-US"/>
        </w:rPr>
        <w:t xml:space="preserve"> to health inequality. </w:t>
      </w:r>
      <w:r w:rsidR="00F5423A">
        <w:rPr>
          <w:rFonts w:ascii="Arial" w:eastAsia="Calibri" w:hAnsi="Arial" w:cs="Arial"/>
          <w:sz w:val="22"/>
          <w:szCs w:val="22"/>
          <w:lang w:eastAsia="en-US"/>
        </w:rPr>
        <w:t xml:space="preserve"> </w:t>
      </w:r>
      <w:r w:rsidRPr="00DE1051">
        <w:rPr>
          <w:rFonts w:ascii="Arial" w:eastAsia="Calibri" w:hAnsi="Arial" w:cs="Arial"/>
          <w:sz w:val="22"/>
          <w:szCs w:val="22"/>
          <w:lang w:eastAsia="en-US"/>
        </w:rPr>
        <w:t>Material factors such as poverty, as well as social, cultural and environmental factors impact on lifestyle behaviours, such as smoking, addi</w:t>
      </w:r>
      <w:r w:rsidR="00F5423A">
        <w:rPr>
          <w:rFonts w:ascii="Arial" w:eastAsia="Calibri" w:hAnsi="Arial" w:cs="Arial"/>
          <w:sz w:val="22"/>
          <w:szCs w:val="22"/>
          <w:lang w:eastAsia="en-US"/>
        </w:rPr>
        <w:t xml:space="preserve">ction or poor diet.  </w:t>
      </w:r>
      <w:r w:rsidRPr="00DE1051">
        <w:rPr>
          <w:rFonts w:ascii="Arial" w:hAnsi="Arial" w:cs="Arial"/>
          <w:sz w:val="22"/>
          <w:szCs w:val="22"/>
        </w:rPr>
        <w:t>The Partnership in collaboration with Community Planning Partners and the wider community will focus our efforts on preventing the wider environmental influences and taking action to mitigate individual effects.</w:t>
      </w:r>
    </w:p>
    <w:p w:rsidR="00DE1051" w:rsidRDefault="00DE1051" w:rsidP="00F5423A">
      <w:pPr>
        <w:rPr>
          <w:rFonts w:cs="Arial"/>
          <w:color w:val="000000" w:themeColor="text1"/>
        </w:rPr>
      </w:pPr>
      <w:r w:rsidRPr="00DE1051">
        <w:rPr>
          <w:rFonts w:cs="Arial"/>
        </w:rPr>
        <w:t>The Partnership is committed to the delivery of prevent</w:t>
      </w:r>
      <w:r w:rsidR="008E1EA0">
        <w:rPr>
          <w:rFonts w:cs="Arial"/>
        </w:rPr>
        <w:t>at</w:t>
      </w:r>
      <w:r w:rsidRPr="00DE1051">
        <w:rPr>
          <w:rFonts w:cs="Arial"/>
        </w:rPr>
        <w:t xml:space="preserve">ive and anticipatory care interventions, in order to optimise </w:t>
      </w:r>
      <w:r w:rsidR="00787980">
        <w:rPr>
          <w:rFonts w:cs="Arial"/>
        </w:rPr>
        <w:t>w</w:t>
      </w:r>
      <w:r w:rsidRPr="00DE1051">
        <w:rPr>
          <w:rFonts w:cs="Arial"/>
        </w:rPr>
        <w:t>ellbeing and the potential to reduce unnecessary demand on our</w:t>
      </w:r>
      <w:r w:rsidR="001F696B">
        <w:rPr>
          <w:rFonts w:cs="Arial"/>
        </w:rPr>
        <w:t xml:space="preserve"> H</w:t>
      </w:r>
      <w:r w:rsidR="005F718E">
        <w:rPr>
          <w:rFonts w:cs="Arial"/>
        </w:rPr>
        <w:t xml:space="preserve">ealth </w:t>
      </w:r>
      <w:r w:rsidR="001F696B">
        <w:rPr>
          <w:rFonts w:cs="Arial"/>
        </w:rPr>
        <w:t>and Social Care S</w:t>
      </w:r>
      <w:r w:rsidR="00B67672">
        <w:rPr>
          <w:rFonts w:cs="Arial"/>
        </w:rPr>
        <w:t>ystem.  We work</w:t>
      </w:r>
      <w:r w:rsidRPr="00DE1051">
        <w:rPr>
          <w:rFonts w:cs="Arial"/>
          <w:color w:val="000000" w:themeColor="text1"/>
        </w:rPr>
        <w:t xml:space="preserve"> to improve the determinants of good health e.g. mental wellbeing, positive parenting and mitigate the determinants of poor health e.g. poverty and alcohol abuse. </w:t>
      </w:r>
    </w:p>
    <w:p w:rsidR="00600244" w:rsidRDefault="00600244" w:rsidP="00600244">
      <w:pPr>
        <w:jc w:val="both"/>
        <w:rPr>
          <w:rFonts w:cs="Arial"/>
          <w:color w:val="000000" w:themeColor="text1"/>
        </w:rPr>
      </w:pPr>
    </w:p>
    <w:p w:rsidR="00600244" w:rsidRPr="00BE0048" w:rsidRDefault="00600244" w:rsidP="008570FB">
      <w:pPr>
        <w:pStyle w:val="ListParagraph"/>
        <w:numPr>
          <w:ilvl w:val="0"/>
          <w:numId w:val="38"/>
        </w:numPr>
        <w:ind w:left="426" w:hanging="426"/>
        <w:rPr>
          <w:rFonts w:cs="Arial"/>
          <w:b/>
          <w:sz w:val="24"/>
          <w:szCs w:val="24"/>
        </w:rPr>
      </w:pPr>
      <w:r w:rsidRPr="00BE0048">
        <w:rPr>
          <w:rFonts w:cs="Arial"/>
          <w:b/>
          <w:sz w:val="24"/>
          <w:szCs w:val="24"/>
        </w:rPr>
        <w:t xml:space="preserve">Statement </w:t>
      </w:r>
      <w:r w:rsidR="005F718E" w:rsidRPr="00BE0048">
        <w:rPr>
          <w:rFonts w:cs="Arial"/>
          <w:b/>
          <w:sz w:val="24"/>
          <w:szCs w:val="24"/>
        </w:rPr>
        <w:t>of</w:t>
      </w:r>
      <w:r w:rsidRPr="00BE0048">
        <w:rPr>
          <w:rFonts w:cs="Arial"/>
          <w:b/>
          <w:sz w:val="24"/>
          <w:szCs w:val="24"/>
        </w:rPr>
        <w:t xml:space="preserve"> Ambition</w:t>
      </w:r>
    </w:p>
    <w:p w:rsidR="00600244" w:rsidRPr="00EB4CCB" w:rsidRDefault="00600244" w:rsidP="00600244">
      <w:pPr>
        <w:rPr>
          <w:rFonts w:cs="Arial"/>
        </w:rPr>
      </w:pPr>
      <w:r>
        <w:rPr>
          <w:rFonts w:cs="Arial"/>
        </w:rPr>
        <w:t>The Health and Social Care Partne</w:t>
      </w:r>
      <w:r w:rsidR="001F696B">
        <w:rPr>
          <w:rFonts w:cs="Arial"/>
        </w:rPr>
        <w:t>rship has an agreed vision and Statement of A</w:t>
      </w:r>
      <w:r>
        <w:rPr>
          <w:rFonts w:cs="Arial"/>
        </w:rPr>
        <w:t xml:space="preserve">mbition, which was formalised in 2015 following establishment of the Partnership.  This vision statement </w:t>
      </w:r>
      <w:r w:rsidR="005F718E" w:rsidRPr="00B67672">
        <w:rPr>
          <w:rFonts w:cs="Arial"/>
        </w:rPr>
        <w:t>“</w:t>
      </w:r>
      <w:r w:rsidRPr="00B67672">
        <w:rPr>
          <w:rFonts w:cs="Arial"/>
        </w:rPr>
        <w:t xml:space="preserve">working together to improve health and wellbeing </w:t>
      </w:r>
      <w:r w:rsidRPr="00B67672">
        <w:rPr>
          <w:rFonts w:cs="Arial"/>
          <w:b/>
        </w:rPr>
        <w:t>in</w:t>
      </w:r>
      <w:r w:rsidRPr="00B67672">
        <w:rPr>
          <w:rFonts w:cs="Arial"/>
        </w:rPr>
        <w:t xml:space="preserve"> the community – </w:t>
      </w:r>
      <w:r w:rsidRPr="00B67672">
        <w:rPr>
          <w:rFonts w:cs="Arial"/>
          <w:b/>
        </w:rPr>
        <w:t>with</w:t>
      </w:r>
      <w:r w:rsidRPr="00B67672">
        <w:rPr>
          <w:rFonts w:cs="Arial"/>
        </w:rPr>
        <w:t xml:space="preserve"> the community</w:t>
      </w:r>
      <w:r w:rsidR="005F718E" w:rsidRPr="00B67672">
        <w:rPr>
          <w:rFonts w:cs="Arial"/>
        </w:rPr>
        <w:t>”</w:t>
      </w:r>
      <w:r w:rsidRPr="00B67672">
        <w:rPr>
          <w:rFonts w:cs="Arial"/>
        </w:rPr>
        <w:t xml:space="preserve"> reflects the</w:t>
      </w:r>
      <w:r>
        <w:rPr>
          <w:rFonts w:cs="Arial"/>
        </w:rPr>
        <w:t xml:space="preserve"> Partnership’s commitment to fully involve and work with communities to improve their health and wellbeing.  </w:t>
      </w:r>
    </w:p>
    <w:p w:rsidR="00EB4CCB" w:rsidRDefault="00EB4CCB" w:rsidP="00EB4CCB">
      <w:pPr>
        <w:rPr>
          <w:rFonts w:cs="Arial"/>
        </w:rPr>
      </w:pPr>
    </w:p>
    <w:p w:rsidR="00D71C71" w:rsidRDefault="00D71C71" w:rsidP="00EB4CCB">
      <w:pPr>
        <w:rPr>
          <w:rFonts w:cs="Arial"/>
        </w:rPr>
      </w:pPr>
    </w:p>
    <w:p w:rsidR="00D71C71" w:rsidRPr="00DE1051" w:rsidRDefault="00D71C71" w:rsidP="00EB4CCB">
      <w:pPr>
        <w:rPr>
          <w:rFonts w:cs="Arial"/>
        </w:rPr>
      </w:pPr>
    </w:p>
    <w:p w:rsidR="00600244" w:rsidRPr="00BE0048" w:rsidRDefault="008570FB" w:rsidP="008570FB">
      <w:pPr>
        <w:pStyle w:val="ListParagraph"/>
        <w:numPr>
          <w:ilvl w:val="0"/>
          <w:numId w:val="38"/>
        </w:numPr>
        <w:ind w:left="284" w:hanging="284"/>
        <w:rPr>
          <w:rFonts w:cs="Arial"/>
          <w:b/>
          <w:sz w:val="24"/>
          <w:szCs w:val="24"/>
        </w:rPr>
      </w:pPr>
      <w:r w:rsidRPr="00BE0048">
        <w:rPr>
          <w:rFonts w:cs="Arial"/>
          <w:b/>
          <w:sz w:val="24"/>
          <w:szCs w:val="24"/>
        </w:rPr>
        <w:t xml:space="preserve">  </w:t>
      </w:r>
      <w:r w:rsidR="00600244" w:rsidRPr="00BE0048">
        <w:rPr>
          <w:rFonts w:cs="Arial"/>
          <w:b/>
          <w:sz w:val="24"/>
          <w:szCs w:val="24"/>
        </w:rPr>
        <w:t>Extent and Nature of Issues</w:t>
      </w:r>
    </w:p>
    <w:p w:rsidR="00600244" w:rsidRPr="003D5F33" w:rsidRDefault="001B1C9F" w:rsidP="00F359C6">
      <w:pPr>
        <w:rPr>
          <w:rFonts w:cs="Arial"/>
        </w:rPr>
      </w:pPr>
      <w:r>
        <w:rPr>
          <w:rFonts w:cs="Arial"/>
        </w:rPr>
        <w:t>One</w:t>
      </w:r>
      <w:r w:rsidR="00600244" w:rsidRPr="003D5F33">
        <w:rPr>
          <w:rFonts w:cs="Arial"/>
        </w:rPr>
        <w:t xml:space="preserve"> of the fundamental issues arising from</w:t>
      </w:r>
      <w:r>
        <w:rPr>
          <w:rFonts w:cs="Arial"/>
        </w:rPr>
        <w:t xml:space="preserve"> the Strategic Needs Assessment</w:t>
      </w:r>
      <w:r w:rsidR="00600244" w:rsidRPr="003D5F33">
        <w:rPr>
          <w:rFonts w:cs="Arial"/>
        </w:rPr>
        <w:t xml:space="preserve"> was the increased demand on services arising from increasing demographic pressures as a result of </w:t>
      </w:r>
      <w:r w:rsidR="00600244">
        <w:rPr>
          <w:rFonts w:cs="Arial"/>
        </w:rPr>
        <w:t xml:space="preserve">an ageing population.  In </w:t>
      </w:r>
      <w:r w:rsidR="009A09FE">
        <w:rPr>
          <w:rFonts w:cs="Arial"/>
        </w:rPr>
        <w:t>analysing</w:t>
      </w:r>
      <w:r w:rsidR="00600244" w:rsidRPr="003D5F33">
        <w:rPr>
          <w:rFonts w:cs="Arial"/>
        </w:rPr>
        <w:t xml:space="preserve"> the impact of this through the needs assessment in more detail, it became apparent that this factor was contributing to a number of other issues which the needs assessment highlighted as follows: </w:t>
      </w:r>
    </w:p>
    <w:p w:rsidR="00600244" w:rsidRPr="003D5F33" w:rsidRDefault="00600244" w:rsidP="00600244">
      <w:pPr>
        <w:rPr>
          <w:rFonts w:cs="Arial"/>
        </w:rPr>
      </w:pPr>
    </w:p>
    <w:p w:rsidR="00600244" w:rsidRPr="003D5F33" w:rsidRDefault="00600244" w:rsidP="00600244">
      <w:pPr>
        <w:pStyle w:val="ListParagraph"/>
        <w:numPr>
          <w:ilvl w:val="0"/>
          <w:numId w:val="27"/>
        </w:numPr>
        <w:rPr>
          <w:rFonts w:cs="Arial"/>
        </w:rPr>
      </w:pPr>
      <w:r w:rsidRPr="003D5F33">
        <w:rPr>
          <w:rFonts w:cs="Arial"/>
        </w:rPr>
        <w:t>Increased hospital and residential care activity</w:t>
      </w:r>
      <w:r w:rsidR="006E771A">
        <w:rPr>
          <w:rFonts w:cs="Arial"/>
        </w:rPr>
        <w:t>;</w:t>
      </w:r>
    </w:p>
    <w:p w:rsidR="00600244" w:rsidRPr="003D5F33" w:rsidRDefault="00600244" w:rsidP="00600244">
      <w:pPr>
        <w:pStyle w:val="ListParagraph"/>
        <w:numPr>
          <w:ilvl w:val="0"/>
          <w:numId w:val="27"/>
        </w:numPr>
        <w:rPr>
          <w:rFonts w:cs="Arial"/>
        </w:rPr>
      </w:pPr>
      <w:r w:rsidRPr="003D5F33">
        <w:rPr>
          <w:rFonts w:cs="Arial"/>
        </w:rPr>
        <w:t>Increasing numbers of people living with 1 or more long term conditions</w:t>
      </w:r>
      <w:r w:rsidR="006E771A">
        <w:rPr>
          <w:rFonts w:cs="Arial"/>
        </w:rPr>
        <w:t>;</w:t>
      </w:r>
    </w:p>
    <w:p w:rsidR="00600244" w:rsidRPr="003D5F33" w:rsidRDefault="00600244" w:rsidP="00600244">
      <w:pPr>
        <w:pStyle w:val="ListParagraph"/>
        <w:numPr>
          <w:ilvl w:val="0"/>
          <w:numId w:val="27"/>
        </w:numPr>
        <w:rPr>
          <w:rFonts w:cs="Arial"/>
        </w:rPr>
      </w:pPr>
      <w:r w:rsidRPr="003D5F33">
        <w:rPr>
          <w:rFonts w:cs="Arial"/>
        </w:rPr>
        <w:t>Rising levels of dementia prevalence</w:t>
      </w:r>
      <w:r w:rsidR="006E771A">
        <w:rPr>
          <w:rFonts w:cs="Arial"/>
        </w:rPr>
        <w:t>;</w:t>
      </w:r>
    </w:p>
    <w:p w:rsidR="00600244" w:rsidRPr="003D5F33" w:rsidRDefault="00600244" w:rsidP="00600244">
      <w:pPr>
        <w:pStyle w:val="ListParagraph"/>
        <w:numPr>
          <w:ilvl w:val="0"/>
          <w:numId w:val="27"/>
        </w:numPr>
        <w:rPr>
          <w:rFonts w:cs="Arial"/>
        </w:rPr>
      </w:pPr>
      <w:r w:rsidRPr="003D5F33">
        <w:rPr>
          <w:rFonts w:cs="Arial"/>
        </w:rPr>
        <w:t>Increased vulnerability, particularly in relation to capacity and protection planning</w:t>
      </w:r>
      <w:r w:rsidR="006E771A">
        <w:rPr>
          <w:rFonts w:cs="Arial"/>
        </w:rPr>
        <w:t>;</w:t>
      </w:r>
    </w:p>
    <w:p w:rsidR="00600244" w:rsidRPr="003D5F33" w:rsidRDefault="00600244" w:rsidP="00600244">
      <w:pPr>
        <w:pStyle w:val="ListParagraph"/>
        <w:numPr>
          <w:ilvl w:val="0"/>
          <w:numId w:val="27"/>
        </w:numPr>
        <w:rPr>
          <w:rFonts w:cs="Arial"/>
        </w:rPr>
      </w:pPr>
      <w:r w:rsidRPr="003D5F33">
        <w:rPr>
          <w:rFonts w:cs="Arial"/>
        </w:rPr>
        <w:t>Growing number of carers and the requirement to support an increased number of them to maintain their caring role</w:t>
      </w:r>
      <w:r w:rsidR="006E771A">
        <w:rPr>
          <w:rFonts w:cs="Arial"/>
        </w:rPr>
        <w:t>;</w:t>
      </w:r>
    </w:p>
    <w:p w:rsidR="00600244" w:rsidRPr="003D5F33" w:rsidRDefault="00600244" w:rsidP="00600244">
      <w:pPr>
        <w:pStyle w:val="ListParagraph"/>
        <w:numPr>
          <w:ilvl w:val="0"/>
          <w:numId w:val="27"/>
        </w:numPr>
        <w:rPr>
          <w:rFonts w:cs="Arial"/>
        </w:rPr>
      </w:pPr>
      <w:r w:rsidRPr="003D5F33">
        <w:rPr>
          <w:rFonts w:cs="Arial"/>
        </w:rPr>
        <w:t>Housing options for older people</w:t>
      </w:r>
      <w:r w:rsidR="006E771A">
        <w:rPr>
          <w:rFonts w:cs="Arial"/>
        </w:rPr>
        <w:t>;</w:t>
      </w:r>
    </w:p>
    <w:p w:rsidR="00600244" w:rsidRPr="003D5F33" w:rsidRDefault="00600244" w:rsidP="00600244">
      <w:pPr>
        <w:pStyle w:val="ListParagraph"/>
        <w:numPr>
          <w:ilvl w:val="0"/>
          <w:numId w:val="27"/>
        </w:numPr>
        <w:rPr>
          <w:rFonts w:cs="Arial"/>
        </w:rPr>
      </w:pPr>
      <w:r w:rsidRPr="003D5F33">
        <w:rPr>
          <w:rFonts w:cs="Arial"/>
        </w:rPr>
        <w:t>Poverty levels in households where there were children and young people</w:t>
      </w:r>
      <w:r w:rsidR="006E771A">
        <w:rPr>
          <w:rFonts w:cs="Arial"/>
        </w:rPr>
        <w:t>; and</w:t>
      </w:r>
    </w:p>
    <w:p w:rsidR="00600244" w:rsidRDefault="00600244" w:rsidP="00600244">
      <w:pPr>
        <w:pStyle w:val="ListParagraph"/>
        <w:numPr>
          <w:ilvl w:val="0"/>
          <w:numId w:val="27"/>
        </w:numPr>
        <w:rPr>
          <w:rFonts w:cs="Arial"/>
        </w:rPr>
      </w:pPr>
      <w:r w:rsidRPr="003D5F33">
        <w:rPr>
          <w:rFonts w:cs="Arial"/>
        </w:rPr>
        <w:t xml:space="preserve">Lifestyle issues, such as significant increases in levels </w:t>
      </w:r>
      <w:r w:rsidR="006E771A">
        <w:rPr>
          <w:rFonts w:cs="Arial"/>
        </w:rPr>
        <w:t>of obesity and substance misuse.</w:t>
      </w:r>
      <w:r w:rsidRPr="003D5F33">
        <w:rPr>
          <w:rFonts w:cs="Arial"/>
        </w:rPr>
        <w:t xml:space="preserve"> </w:t>
      </w:r>
    </w:p>
    <w:p w:rsidR="005B4B52" w:rsidRDefault="005B4B52" w:rsidP="005B4B52">
      <w:pPr>
        <w:rPr>
          <w:rFonts w:cs="Arial"/>
        </w:rPr>
      </w:pPr>
    </w:p>
    <w:p w:rsidR="005B4B52" w:rsidRPr="003D5F33" w:rsidRDefault="005B4B52" w:rsidP="005B4B52">
      <w:pPr>
        <w:rPr>
          <w:rFonts w:cs="Arial"/>
          <w:iCs/>
        </w:rPr>
      </w:pPr>
      <w:r>
        <w:rPr>
          <w:rFonts w:cs="Arial"/>
        </w:rPr>
        <w:t>The</w:t>
      </w:r>
      <w:r w:rsidRPr="003D5F33">
        <w:rPr>
          <w:rFonts w:cs="Arial"/>
          <w:iCs/>
        </w:rPr>
        <w:t xml:space="preserve"> Health and Social Care contribution to developing our priorities has been informed and developed from the extensive consultation and participation activity which we undertook as part of developing our Strategic Commissioning Plan 2016-19.</w:t>
      </w:r>
      <w:r w:rsidR="00541287">
        <w:rPr>
          <w:rFonts w:cs="Arial"/>
          <w:iCs/>
        </w:rPr>
        <w:t xml:space="preserve"> </w:t>
      </w:r>
      <w:r w:rsidRPr="003D5F33">
        <w:rPr>
          <w:rFonts w:cs="Arial"/>
          <w:iCs/>
        </w:rPr>
        <w:t xml:space="preserve"> Over the course of 2015 and early part of 2016, we undertook loca</w:t>
      </w:r>
      <w:r w:rsidR="00541287">
        <w:rPr>
          <w:rFonts w:cs="Arial"/>
          <w:iCs/>
        </w:rPr>
        <w:t xml:space="preserve">lity based consultation events. </w:t>
      </w:r>
      <w:r w:rsidRPr="003D5F33">
        <w:rPr>
          <w:rFonts w:cs="Arial"/>
          <w:iCs/>
        </w:rPr>
        <w:t xml:space="preserve"> This involved a programme of 3 events in each of the four localities or 12 in total.</w:t>
      </w:r>
      <w:r w:rsidR="00541287">
        <w:rPr>
          <w:rFonts w:cs="Arial"/>
          <w:iCs/>
        </w:rPr>
        <w:t xml:space="preserve"> </w:t>
      </w:r>
      <w:r w:rsidRPr="003D5F33">
        <w:rPr>
          <w:rFonts w:cs="Arial"/>
          <w:iCs/>
        </w:rPr>
        <w:t xml:space="preserve"> This was also supplemented by direct engagement with other </w:t>
      </w:r>
      <w:r w:rsidR="006E771A">
        <w:rPr>
          <w:rFonts w:cs="Arial"/>
          <w:iCs/>
        </w:rPr>
        <w:t>organis</w:t>
      </w:r>
      <w:r w:rsidR="008570FB">
        <w:rPr>
          <w:rFonts w:cs="Arial"/>
          <w:iCs/>
        </w:rPr>
        <w:t>ations</w:t>
      </w:r>
      <w:r w:rsidRPr="003D5F33">
        <w:rPr>
          <w:rFonts w:cs="Arial"/>
          <w:iCs/>
        </w:rPr>
        <w:t xml:space="preserve"> who requested that we come and discuss the plan and the priorities</w:t>
      </w:r>
      <w:r w:rsidR="008E1EA0">
        <w:rPr>
          <w:rFonts w:cs="Arial"/>
          <w:iCs/>
        </w:rPr>
        <w:t xml:space="preserve"> with them, for example</w:t>
      </w:r>
      <w:r w:rsidR="001A2FFC">
        <w:rPr>
          <w:rFonts w:cs="Arial"/>
          <w:iCs/>
        </w:rPr>
        <w:t>,</w:t>
      </w:r>
      <w:r w:rsidR="008E1EA0">
        <w:rPr>
          <w:rFonts w:cs="Arial"/>
          <w:iCs/>
        </w:rPr>
        <w:t xml:space="preserve"> Carers G</w:t>
      </w:r>
      <w:r w:rsidRPr="003D5F33">
        <w:rPr>
          <w:rFonts w:cs="Arial"/>
          <w:iCs/>
        </w:rPr>
        <w:t>roup</w:t>
      </w:r>
      <w:r>
        <w:rPr>
          <w:rFonts w:cs="Arial"/>
          <w:iCs/>
        </w:rPr>
        <w:t>s</w:t>
      </w:r>
      <w:r w:rsidRPr="003D5F33">
        <w:rPr>
          <w:rFonts w:cs="Arial"/>
          <w:iCs/>
        </w:rPr>
        <w:t xml:space="preserve"> and also older people as facilitated by Seniors Together.</w:t>
      </w:r>
      <w:r w:rsidR="00541287">
        <w:rPr>
          <w:rFonts w:cs="Arial"/>
          <w:iCs/>
        </w:rPr>
        <w:t xml:space="preserve"> </w:t>
      </w:r>
      <w:r w:rsidRPr="003D5F33">
        <w:rPr>
          <w:rFonts w:cs="Arial"/>
          <w:iCs/>
        </w:rPr>
        <w:t xml:space="preserve"> In terms of coverage and direct engagement, approximately 900 stakeholders took part in the locality based half day events.</w:t>
      </w:r>
      <w:r w:rsidR="00541287">
        <w:rPr>
          <w:rFonts w:cs="Arial"/>
          <w:iCs/>
        </w:rPr>
        <w:t xml:space="preserve"> </w:t>
      </w:r>
      <w:r w:rsidRPr="003D5F33">
        <w:rPr>
          <w:rFonts w:cs="Arial"/>
          <w:iCs/>
        </w:rPr>
        <w:t xml:space="preserve"> Supplementing this, we also received 44 written responses to the draft Strategic Commissioning Plan, which helped (in addition to the events) to shape 10 key themes that stakeholders agreed we should focus our efforts on.</w:t>
      </w:r>
    </w:p>
    <w:p w:rsidR="00600244" w:rsidRDefault="00600244" w:rsidP="00600244">
      <w:pPr>
        <w:rPr>
          <w:rFonts w:cs="Arial"/>
        </w:rPr>
      </w:pPr>
    </w:p>
    <w:p w:rsidR="00600244" w:rsidRPr="00BE0048" w:rsidRDefault="00600244" w:rsidP="008570FB">
      <w:pPr>
        <w:pStyle w:val="ListParagraph"/>
        <w:numPr>
          <w:ilvl w:val="0"/>
          <w:numId w:val="38"/>
        </w:numPr>
        <w:ind w:left="426" w:hanging="426"/>
        <w:rPr>
          <w:rFonts w:cs="Arial"/>
          <w:b/>
          <w:sz w:val="24"/>
          <w:szCs w:val="24"/>
        </w:rPr>
      </w:pPr>
      <w:r w:rsidRPr="00BE0048">
        <w:rPr>
          <w:rFonts w:cs="Arial"/>
          <w:b/>
          <w:sz w:val="24"/>
          <w:szCs w:val="24"/>
        </w:rPr>
        <w:t>Priorities</w:t>
      </w:r>
    </w:p>
    <w:p w:rsidR="00600244" w:rsidRPr="003D5F33" w:rsidRDefault="001B1C9F" w:rsidP="00600244">
      <w:pPr>
        <w:rPr>
          <w:rFonts w:cs="Arial"/>
        </w:rPr>
      </w:pPr>
      <w:r>
        <w:rPr>
          <w:rFonts w:cs="Arial"/>
        </w:rPr>
        <w:t>As set out above,</w:t>
      </w:r>
      <w:r w:rsidR="00600244" w:rsidRPr="003D5F33">
        <w:rPr>
          <w:rFonts w:cs="Arial"/>
        </w:rPr>
        <w:t xml:space="preserve"> the consultation process led to wide discussion and in turn agreement was reached to prioritise and focus resources of the SLHSCP on the following:</w:t>
      </w:r>
    </w:p>
    <w:p w:rsidR="00600244" w:rsidRPr="003D5F33" w:rsidRDefault="00600244" w:rsidP="00600244">
      <w:pPr>
        <w:rPr>
          <w:rFonts w:cs="Arial"/>
        </w:rPr>
      </w:pPr>
    </w:p>
    <w:p w:rsidR="00600244" w:rsidRPr="003D5F33" w:rsidRDefault="005F718E" w:rsidP="00600244">
      <w:pPr>
        <w:pStyle w:val="ListParagraph"/>
        <w:numPr>
          <w:ilvl w:val="0"/>
          <w:numId w:val="25"/>
        </w:numPr>
        <w:rPr>
          <w:rFonts w:cs="Arial"/>
        </w:rPr>
      </w:pPr>
      <w:r>
        <w:rPr>
          <w:rFonts w:cs="Arial"/>
        </w:rPr>
        <w:t>Statutory/</w:t>
      </w:r>
      <w:r w:rsidR="00600244" w:rsidRPr="003D5F33">
        <w:rPr>
          <w:rFonts w:cs="Arial"/>
        </w:rPr>
        <w:t>core work</w:t>
      </w:r>
      <w:r w:rsidR="005C567D">
        <w:rPr>
          <w:rFonts w:cs="Arial"/>
        </w:rPr>
        <w:t>;</w:t>
      </w:r>
    </w:p>
    <w:p w:rsidR="00600244" w:rsidRPr="003D5F33" w:rsidRDefault="00600244" w:rsidP="00600244">
      <w:pPr>
        <w:pStyle w:val="ListParagraph"/>
        <w:numPr>
          <w:ilvl w:val="0"/>
          <w:numId w:val="25"/>
        </w:numPr>
        <w:rPr>
          <w:rFonts w:cs="Arial"/>
        </w:rPr>
      </w:pPr>
      <w:r w:rsidRPr="003D5F33">
        <w:rPr>
          <w:rFonts w:cs="Arial"/>
        </w:rPr>
        <w:t>Early intervention/prevention and health improvement</w:t>
      </w:r>
      <w:r w:rsidR="005C567D">
        <w:rPr>
          <w:rFonts w:cs="Arial"/>
        </w:rPr>
        <w:t>;</w:t>
      </w:r>
    </w:p>
    <w:p w:rsidR="00600244" w:rsidRPr="003D5F33" w:rsidRDefault="00600244" w:rsidP="00600244">
      <w:pPr>
        <w:pStyle w:val="ListParagraph"/>
        <w:numPr>
          <w:ilvl w:val="0"/>
          <w:numId w:val="25"/>
        </w:numPr>
        <w:rPr>
          <w:rFonts w:cs="Arial"/>
        </w:rPr>
      </w:pPr>
      <w:r w:rsidRPr="003D5F33">
        <w:rPr>
          <w:rFonts w:cs="Arial"/>
        </w:rPr>
        <w:t>Carers support</w:t>
      </w:r>
      <w:r w:rsidR="005C567D">
        <w:rPr>
          <w:rFonts w:cs="Arial"/>
        </w:rPr>
        <w:t>;</w:t>
      </w:r>
    </w:p>
    <w:p w:rsidR="00600244" w:rsidRPr="003D5F33" w:rsidRDefault="008E1EA0" w:rsidP="00600244">
      <w:pPr>
        <w:pStyle w:val="ListParagraph"/>
        <w:numPr>
          <w:ilvl w:val="0"/>
          <w:numId w:val="25"/>
        </w:numPr>
        <w:rPr>
          <w:rFonts w:cs="Arial"/>
        </w:rPr>
      </w:pPr>
      <w:r>
        <w:rPr>
          <w:rFonts w:cs="Arial"/>
        </w:rPr>
        <w:t>Models of self–</w:t>
      </w:r>
      <w:r w:rsidR="00600244" w:rsidRPr="003D5F33">
        <w:rPr>
          <w:rFonts w:cs="Arial"/>
        </w:rPr>
        <w:t>c</w:t>
      </w:r>
      <w:r>
        <w:rPr>
          <w:rFonts w:cs="Arial"/>
        </w:rPr>
        <w:t>are and self–</w:t>
      </w:r>
      <w:r w:rsidR="00600244" w:rsidRPr="003D5F33">
        <w:rPr>
          <w:rFonts w:cs="Arial"/>
        </w:rPr>
        <w:t>management</w:t>
      </w:r>
      <w:r w:rsidR="005C567D">
        <w:rPr>
          <w:rFonts w:cs="Arial"/>
        </w:rPr>
        <w:t>;</w:t>
      </w:r>
    </w:p>
    <w:p w:rsidR="00600244" w:rsidRPr="003D5F33" w:rsidRDefault="00600244" w:rsidP="00600244">
      <w:pPr>
        <w:pStyle w:val="ListParagraph"/>
        <w:numPr>
          <w:ilvl w:val="0"/>
          <w:numId w:val="25"/>
        </w:numPr>
        <w:rPr>
          <w:rFonts w:cs="Arial"/>
        </w:rPr>
      </w:pPr>
      <w:r w:rsidRPr="003D5F33">
        <w:rPr>
          <w:rFonts w:cs="Arial"/>
        </w:rPr>
        <w:t>Seven day services</w:t>
      </w:r>
      <w:r w:rsidR="005C567D">
        <w:rPr>
          <w:rFonts w:cs="Arial"/>
        </w:rPr>
        <w:t>;</w:t>
      </w:r>
    </w:p>
    <w:p w:rsidR="00600244" w:rsidRPr="003D5F33" w:rsidRDefault="00600244" w:rsidP="00600244">
      <w:pPr>
        <w:pStyle w:val="ListParagraph"/>
        <w:numPr>
          <w:ilvl w:val="0"/>
          <w:numId w:val="25"/>
        </w:numPr>
        <w:rPr>
          <w:rFonts w:cs="Arial"/>
        </w:rPr>
      </w:pPr>
      <w:r w:rsidRPr="003D5F33">
        <w:rPr>
          <w:rFonts w:cs="Arial"/>
        </w:rPr>
        <w:t>Intermediate care and reducing reliance on hospital and residential care</w:t>
      </w:r>
      <w:r w:rsidR="005C567D">
        <w:rPr>
          <w:rFonts w:cs="Arial"/>
        </w:rPr>
        <w:t>;</w:t>
      </w:r>
    </w:p>
    <w:p w:rsidR="00600244" w:rsidRPr="003D5F33" w:rsidRDefault="00600244" w:rsidP="00600244">
      <w:pPr>
        <w:pStyle w:val="ListParagraph"/>
        <w:numPr>
          <w:ilvl w:val="0"/>
          <w:numId w:val="25"/>
        </w:numPr>
        <w:rPr>
          <w:rFonts w:cs="Arial"/>
        </w:rPr>
      </w:pPr>
      <w:r w:rsidRPr="003D5F33">
        <w:rPr>
          <w:rFonts w:cs="Arial"/>
        </w:rPr>
        <w:t>Suitable and sustainable housing</w:t>
      </w:r>
      <w:r w:rsidR="005C567D">
        <w:rPr>
          <w:rFonts w:cs="Arial"/>
        </w:rPr>
        <w:t>;</w:t>
      </w:r>
    </w:p>
    <w:p w:rsidR="00600244" w:rsidRPr="003D5F33" w:rsidRDefault="00600244" w:rsidP="00600244">
      <w:pPr>
        <w:pStyle w:val="ListParagraph"/>
        <w:numPr>
          <w:ilvl w:val="0"/>
          <w:numId w:val="25"/>
        </w:numPr>
        <w:rPr>
          <w:rFonts w:cs="Arial"/>
        </w:rPr>
      </w:pPr>
      <w:r w:rsidRPr="003D5F33">
        <w:rPr>
          <w:rFonts w:cs="Arial"/>
        </w:rPr>
        <w:t>Single points of contact</w:t>
      </w:r>
      <w:r w:rsidR="005C567D">
        <w:rPr>
          <w:rFonts w:cs="Arial"/>
        </w:rPr>
        <w:t>;</w:t>
      </w:r>
    </w:p>
    <w:p w:rsidR="00600244" w:rsidRPr="003D5F33" w:rsidRDefault="00600244" w:rsidP="00600244">
      <w:pPr>
        <w:pStyle w:val="ListParagraph"/>
        <w:numPr>
          <w:ilvl w:val="0"/>
          <w:numId w:val="25"/>
        </w:numPr>
        <w:rPr>
          <w:rFonts w:cs="Arial"/>
        </w:rPr>
      </w:pPr>
      <w:r w:rsidRPr="003D5F33">
        <w:rPr>
          <w:rFonts w:cs="Arial"/>
        </w:rPr>
        <w:t>Mental Health and Wellbeing</w:t>
      </w:r>
      <w:r w:rsidR="005C567D">
        <w:rPr>
          <w:rFonts w:cs="Arial"/>
        </w:rPr>
        <w:t>; and</w:t>
      </w:r>
    </w:p>
    <w:p w:rsidR="00600244" w:rsidRPr="003D5F33" w:rsidRDefault="00600244" w:rsidP="00600244">
      <w:pPr>
        <w:pStyle w:val="ListParagraph"/>
        <w:numPr>
          <w:ilvl w:val="0"/>
          <w:numId w:val="25"/>
        </w:numPr>
        <w:rPr>
          <w:rFonts w:cs="Arial"/>
        </w:rPr>
      </w:pPr>
      <w:r w:rsidRPr="003D5F33">
        <w:rPr>
          <w:rFonts w:cs="Arial"/>
        </w:rPr>
        <w:t>Enablers to support better integrated working</w:t>
      </w:r>
      <w:r w:rsidR="005C567D">
        <w:rPr>
          <w:rFonts w:cs="Arial"/>
        </w:rPr>
        <w:t>.</w:t>
      </w:r>
    </w:p>
    <w:p w:rsidR="00600244" w:rsidRPr="003D5F33" w:rsidRDefault="00600244" w:rsidP="00600244">
      <w:pPr>
        <w:rPr>
          <w:rFonts w:cs="Arial"/>
        </w:rPr>
      </w:pPr>
    </w:p>
    <w:p w:rsidR="00600244" w:rsidRPr="003D5F33" w:rsidRDefault="005F718E" w:rsidP="00600244">
      <w:pPr>
        <w:rPr>
          <w:rFonts w:cs="Arial"/>
        </w:rPr>
      </w:pPr>
      <w:r>
        <w:rPr>
          <w:rFonts w:cs="Arial"/>
        </w:rPr>
        <w:t>As a result</w:t>
      </w:r>
      <w:r w:rsidR="00600244" w:rsidRPr="003D5F33">
        <w:rPr>
          <w:rFonts w:cs="Arial"/>
        </w:rPr>
        <w:t xml:space="preserve"> the Strategic Commissioning Plan reflects a set of actions and measures which </w:t>
      </w:r>
      <w:r w:rsidR="00600244">
        <w:rPr>
          <w:rFonts w:cs="Arial"/>
        </w:rPr>
        <w:t>have been prioritis</w:t>
      </w:r>
      <w:r w:rsidR="00600244" w:rsidRPr="003D5F33">
        <w:rPr>
          <w:rFonts w:cs="Arial"/>
        </w:rPr>
        <w:t>ed to set the direction of travel for the SLHSCP in meeting th</w:t>
      </w:r>
      <w:r w:rsidR="001A2FFC">
        <w:rPr>
          <w:rFonts w:cs="Arial"/>
        </w:rPr>
        <w:t>e demands highlighted from the Strategic N</w:t>
      </w:r>
      <w:r w:rsidR="00600244" w:rsidRPr="003D5F33">
        <w:rPr>
          <w:rFonts w:cs="Arial"/>
        </w:rPr>
        <w:t xml:space="preserve">eeds </w:t>
      </w:r>
      <w:r w:rsidR="001A2FFC">
        <w:rPr>
          <w:rFonts w:cs="Arial"/>
        </w:rPr>
        <w:t>A</w:t>
      </w:r>
      <w:r w:rsidR="00600244" w:rsidRPr="003D5F33">
        <w:rPr>
          <w:rFonts w:cs="Arial"/>
        </w:rPr>
        <w:t>ssessment, consultation priorities and the 9 National Health and Wellbeing Outcomes.</w:t>
      </w:r>
    </w:p>
    <w:p w:rsidR="00EB4CCB" w:rsidRPr="00EB4CCB" w:rsidRDefault="00EB4CCB" w:rsidP="00EB4CCB">
      <w:pPr>
        <w:rPr>
          <w:rFonts w:cs="Arial"/>
          <w:b/>
        </w:rPr>
      </w:pPr>
    </w:p>
    <w:p w:rsidR="003D5F33" w:rsidRPr="003D5F33" w:rsidRDefault="003D5F33" w:rsidP="003D5F33">
      <w:pPr>
        <w:rPr>
          <w:rFonts w:cs="Arial"/>
        </w:rPr>
      </w:pPr>
      <w:r w:rsidRPr="003D5F33">
        <w:rPr>
          <w:rFonts w:cs="Arial"/>
        </w:rPr>
        <w:t>As part of developing the St</w:t>
      </w:r>
      <w:r w:rsidR="005B64EB">
        <w:rPr>
          <w:rFonts w:cs="Arial"/>
        </w:rPr>
        <w:t>rategic Commissioning Plan 2016–</w:t>
      </w:r>
      <w:r w:rsidRPr="003D5F33">
        <w:rPr>
          <w:rFonts w:cs="Arial"/>
        </w:rPr>
        <w:t>19, the SLHSCP undertook significant work to understand wha</w:t>
      </w:r>
      <w:r w:rsidR="00393642">
        <w:rPr>
          <w:rFonts w:cs="Arial"/>
        </w:rPr>
        <w:t>t the priorities should be for Health and Social C</w:t>
      </w:r>
      <w:r w:rsidRPr="003D5F33">
        <w:rPr>
          <w:rFonts w:cs="Arial"/>
        </w:rPr>
        <w:t xml:space="preserve">are.  Specifically, two wide ranging pieces of work were completed to shape this as follows: </w:t>
      </w:r>
    </w:p>
    <w:p w:rsidR="003D5F33" w:rsidRPr="003D5F33" w:rsidRDefault="003D5F33" w:rsidP="003D5F33">
      <w:pPr>
        <w:rPr>
          <w:rFonts w:cs="Arial"/>
          <w:sz w:val="16"/>
          <w:szCs w:val="16"/>
        </w:rPr>
      </w:pPr>
    </w:p>
    <w:p w:rsidR="005C567D" w:rsidRDefault="001A2FFC" w:rsidP="003D5F33">
      <w:pPr>
        <w:pStyle w:val="ListParagraph"/>
        <w:numPr>
          <w:ilvl w:val="0"/>
          <w:numId w:val="24"/>
        </w:numPr>
        <w:rPr>
          <w:rFonts w:cs="Arial"/>
        </w:rPr>
      </w:pPr>
      <w:r>
        <w:rPr>
          <w:rFonts w:cs="Arial"/>
        </w:rPr>
        <w:t>a Strategic Needs A</w:t>
      </w:r>
      <w:r w:rsidR="00393642">
        <w:rPr>
          <w:rFonts w:cs="Arial"/>
        </w:rPr>
        <w:t>ssessment at a p</w:t>
      </w:r>
      <w:r w:rsidR="003D5F33" w:rsidRPr="003D5F33">
        <w:rPr>
          <w:rFonts w:cs="Arial"/>
        </w:rPr>
        <w:t>artnership level and within each of the four localities of Rutherglen/Cambuslang</w:t>
      </w:r>
      <w:r>
        <w:rPr>
          <w:rFonts w:cs="Arial"/>
        </w:rPr>
        <w:t>; Hamilton/Blantyre;</w:t>
      </w:r>
      <w:r w:rsidR="003D5F33" w:rsidRPr="003D5F33">
        <w:rPr>
          <w:rFonts w:cs="Arial"/>
        </w:rPr>
        <w:t xml:space="preserve"> Clydesdale</w:t>
      </w:r>
      <w:r>
        <w:rPr>
          <w:rFonts w:cs="Arial"/>
        </w:rPr>
        <w:t>;</w:t>
      </w:r>
      <w:bookmarkStart w:id="0" w:name="_GoBack"/>
      <w:bookmarkEnd w:id="0"/>
      <w:r w:rsidR="003D5F33" w:rsidRPr="003D5F33">
        <w:rPr>
          <w:rFonts w:cs="Arial"/>
        </w:rPr>
        <w:t xml:space="preserve"> and </w:t>
      </w:r>
    </w:p>
    <w:p w:rsidR="003D5F33" w:rsidRPr="003D5F33" w:rsidRDefault="003D5F33" w:rsidP="005C567D">
      <w:pPr>
        <w:pStyle w:val="ListParagraph"/>
        <w:rPr>
          <w:rFonts w:cs="Arial"/>
        </w:rPr>
      </w:pPr>
      <w:r w:rsidRPr="003D5F33">
        <w:rPr>
          <w:rFonts w:cs="Arial"/>
        </w:rPr>
        <w:t>East Kilbride</w:t>
      </w:r>
      <w:r w:rsidR="005C567D">
        <w:rPr>
          <w:rFonts w:cs="Arial"/>
        </w:rPr>
        <w:t>;</w:t>
      </w:r>
    </w:p>
    <w:p w:rsidR="003D5F33" w:rsidRPr="003D5F33" w:rsidRDefault="003D5F33" w:rsidP="003D5F33">
      <w:pPr>
        <w:pStyle w:val="ListParagraph"/>
        <w:numPr>
          <w:ilvl w:val="0"/>
          <w:numId w:val="24"/>
        </w:numPr>
        <w:rPr>
          <w:rFonts w:cs="Arial"/>
        </w:rPr>
      </w:pPr>
      <w:r w:rsidRPr="003D5F33">
        <w:rPr>
          <w:rFonts w:cs="Arial"/>
        </w:rPr>
        <w:t xml:space="preserve">A number of consultation sessions with </w:t>
      </w:r>
      <w:r w:rsidR="00393642">
        <w:rPr>
          <w:rFonts w:cs="Arial"/>
        </w:rPr>
        <w:t>p</w:t>
      </w:r>
      <w:r w:rsidRPr="003D5F33">
        <w:rPr>
          <w:rFonts w:cs="Arial"/>
        </w:rPr>
        <w:t>artners and members of the public regarding how the Partnership should prioritise its activities in tackling the major themes arising from the needs as</w:t>
      </w:r>
      <w:r w:rsidR="005F718E">
        <w:rPr>
          <w:rFonts w:cs="Arial"/>
        </w:rPr>
        <w:t xml:space="preserve">sessment </w:t>
      </w:r>
      <w:r w:rsidR="00393642">
        <w:rPr>
          <w:rFonts w:cs="Arial"/>
        </w:rPr>
        <w:t>(see section 3</w:t>
      </w:r>
      <w:r w:rsidRPr="00393642">
        <w:rPr>
          <w:rFonts w:cs="Arial"/>
        </w:rPr>
        <w:t>)</w:t>
      </w:r>
      <w:r w:rsidR="005C567D">
        <w:rPr>
          <w:rFonts w:cs="Arial"/>
        </w:rPr>
        <w:t>; and</w:t>
      </w:r>
    </w:p>
    <w:p w:rsidR="003D5F33" w:rsidRDefault="003D5F33" w:rsidP="003D5F33">
      <w:pPr>
        <w:pStyle w:val="ListParagraph"/>
        <w:numPr>
          <w:ilvl w:val="0"/>
          <w:numId w:val="24"/>
        </w:numPr>
        <w:rPr>
          <w:rFonts w:cs="Arial"/>
        </w:rPr>
      </w:pPr>
      <w:r w:rsidRPr="003D5F33">
        <w:rPr>
          <w:rFonts w:cs="Arial"/>
        </w:rPr>
        <w:t>The 9 National Health and Wellbeing Outcomes and how the SLHSCP works with othe</w:t>
      </w:r>
      <w:r w:rsidR="00393642">
        <w:rPr>
          <w:rFonts w:cs="Arial"/>
        </w:rPr>
        <w:t>r p</w:t>
      </w:r>
      <w:r w:rsidRPr="003D5F33">
        <w:rPr>
          <w:rFonts w:cs="Arial"/>
        </w:rPr>
        <w:t>artners to achieve these</w:t>
      </w:r>
      <w:r w:rsidR="00393642">
        <w:rPr>
          <w:rFonts w:cs="Arial"/>
        </w:rPr>
        <w:t>.</w:t>
      </w:r>
    </w:p>
    <w:p w:rsidR="005B4B52" w:rsidRDefault="005B4B52" w:rsidP="005B4B52">
      <w:pPr>
        <w:rPr>
          <w:rFonts w:cs="Arial"/>
          <w:iCs/>
        </w:rPr>
      </w:pPr>
    </w:p>
    <w:p w:rsidR="005B4B52" w:rsidRPr="006B6613" w:rsidRDefault="005B4B52" w:rsidP="005B4B52">
      <w:pPr>
        <w:rPr>
          <w:rFonts w:cs="Arial"/>
          <w:iCs/>
        </w:rPr>
      </w:pPr>
      <w:r w:rsidRPr="005B4B52">
        <w:rPr>
          <w:rFonts w:cs="Arial"/>
          <w:iCs/>
        </w:rPr>
        <w:t xml:space="preserve">To this end and taking cognisance of the above, our Strategic Commissioning Plan and </w:t>
      </w:r>
      <w:r w:rsidR="005F718E">
        <w:rPr>
          <w:rFonts w:cs="Arial"/>
          <w:iCs/>
        </w:rPr>
        <w:t>Community Planning</w:t>
      </w:r>
      <w:r w:rsidRPr="005B4B52">
        <w:rPr>
          <w:rFonts w:cs="Arial"/>
          <w:iCs/>
        </w:rPr>
        <w:t xml:space="preserve"> contribution directly reflects these priorities and how the Partnership will focus its energy on these areas.  From a performance and planning perspective, this is what we will </w:t>
      </w:r>
      <w:r w:rsidRPr="006B6613">
        <w:rPr>
          <w:rFonts w:cs="Arial"/>
          <w:iCs/>
        </w:rPr>
        <w:t>report against in terms of</w:t>
      </w:r>
      <w:r w:rsidR="006B6613" w:rsidRPr="006B6613">
        <w:rPr>
          <w:rFonts w:cs="Arial"/>
          <w:iCs/>
        </w:rPr>
        <w:t xml:space="preserve"> measuring progress and impact.</w:t>
      </w:r>
    </w:p>
    <w:p w:rsidR="003D5F33" w:rsidRPr="006B6613" w:rsidRDefault="003D5F33" w:rsidP="003D5F33">
      <w:pPr>
        <w:rPr>
          <w:rFonts w:cs="Arial"/>
        </w:rPr>
      </w:pPr>
    </w:p>
    <w:p w:rsidR="003D5F33" w:rsidRPr="00BE0048" w:rsidRDefault="006B6613" w:rsidP="008570FB">
      <w:pPr>
        <w:pStyle w:val="ListParagraph"/>
        <w:numPr>
          <w:ilvl w:val="0"/>
          <w:numId w:val="38"/>
        </w:numPr>
        <w:ind w:left="426" w:hanging="426"/>
        <w:rPr>
          <w:rFonts w:cs="Arial"/>
          <w:b/>
          <w:sz w:val="24"/>
          <w:szCs w:val="24"/>
        </w:rPr>
      </w:pPr>
      <w:r w:rsidRPr="00BE0048">
        <w:rPr>
          <w:rFonts w:cs="Arial"/>
          <w:b/>
          <w:sz w:val="24"/>
          <w:szCs w:val="24"/>
        </w:rPr>
        <w:t xml:space="preserve">Partnership </w:t>
      </w:r>
      <w:r w:rsidR="003D5F33" w:rsidRPr="00BE0048">
        <w:rPr>
          <w:rFonts w:cs="Arial"/>
          <w:b/>
          <w:sz w:val="24"/>
          <w:szCs w:val="24"/>
        </w:rPr>
        <w:t>Outcomes</w:t>
      </w:r>
      <w:r w:rsidR="00685BAB" w:rsidRPr="00BE0048">
        <w:rPr>
          <w:rFonts w:cs="Arial"/>
          <w:b/>
          <w:sz w:val="24"/>
          <w:szCs w:val="24"/>
        </w:rPr>
        <w:t xml:space="preserve"> </w:t>
      </w:r>
    </w:p>
    <w:p w:rsidR="003D5F33" w:rsidRPr="003D5F33" w:rsidRDefault="00685BAB" w:rsidP="003D5F33">
      <w:pPr>
        <w:rPr>
          <w:rFonts w:cs="Arial"/>
        </w:rPr>
      </w:pPr>
      <w:r w:rsidRPr="006B6613">
        <w:rPr>
          <w:rFonts w:cs="Arial"/>
        </w:rPr>
        <w:t>Whilst the Partnership recognis</w:t>
      </w:r>
      <w:r w:rsidR="003D5F33" w:rsidRPr="006B6613">
        <w:rPr>
          <w:rFonts w:cs="Arial"/>
        </w:rPr>
        <w:t>es that the Strategic Commissioning Plan 2016-19 will provide focus on all of the above, the Health and Social Care Partnership in a wider Community</w:t>
      </w:r>
      <w:r w:rsidR="003D5F33" w:rsidRPr="003D5F33">
        <w:rPr>
          <w:rFonts w:cs="Arial"/>
        </w:rPr>
        <w:t xml:space="preserve"> Planning context intends to work with partners to prioritise the following areas in relation to the </w:t>
      </w:r>
      <w:r w:rsidR="005F718E">
        <w:rPr>
          <w:rFonts w:cs="Arial"/>
        </w:rPr>
        <w:t>Community</w:t>
      </w:r>
      <w:r w:rsidR="003D5F33" w:rsidRPr="003D5F33">
        <w:rPr>
          <w:rFonts w:cs="Arial"/>
        </w:rPr>
        <w:t xml:space="preserve"> Plan</w:t>
      </w:r>
      <w:r w:rsidR="006B6613">
        <w:rPr>
          <w:rFonts w:cs="Arial"/>
        </w:rPr>
        <w:t>:</w:t>
      </w:r>
    </w:p>
    <w:p w:rsidR="003D5F33" w:rsidRPr="003D5F33" w:rsidRDefault="003D5F33" w:rsidP="003D5F33">
      <w:pPr>
        <w:rPr>
          <w:rFonts w:cs="Arial"/>
          <w:b/>
          <w:sz w:val="16"/>
          <w:szCs w:val="16"/>
        </w:rPr>
      </w:pPr>
    </w:p>
    <w:p w:rsidR="003D5F33" w:rsidRPr="003D5F33" w:rsidRDefault="003D5F33" w:rsidP="003D5F33">
      <w:pPr>
        <w:pStyle w:val="ListBullet"/>
        <w:numPr>
          <w:ilvl w:val="0"/>
          <w:numId w:val="19"/>
        </w:numPr>
        <w:tabs>
          <w:tab w:val="left" w:pos="720"/>
        </w:tabs>
        <w:rPr>
          <w:rFonts w:ascii="Arial" w:hAnsi="Arial" w:cs="Arial"/>
          <w:sz w:val="22"/>
          <w:szCs w:val="22"/>
        </w:rPr>
      </w:pPr>
      <w:r w:rsidRPr="003D5F33">
        <w:rPr>
          <w:rFonts w:ascii="Arial" w:hAnsi="Arial" w:cs="Arial"/>
          <w:sz w:val="22"/>
          <w:szCs w:val="22"/>
        </w:rPr>
        <w:t>Individuals</w:t>
      </w:r>
      <w:r w:rsidR="006B6613">
        <w:rPr>
          <w:rFonts w:ascii="Arial" w:hAnsi="Arial" w:cs="Arial"/>
          <w:sz w:val="22"/>
          <w:szCs w:val="22"/>
        </w:rPr>
        <w:t>,</w:t>
      </w:r>
      <w:r w:rsidRPr="003D5F33">
        <w:rPr>
          <w:rFonts w:ascii="Arial" w:hAnsi="Arial" w:cs="Arial"/>
          <w:sz w:val="22"/>
          <w:szCs w:val="22"/>
        </w:rPr>
        <w:t xml:space="preserve"> families and communities are empowered to take preventative action to support positive health and wellbeing with a focus on communities and groups wh</w:t>
      </w:r>
      <w:r w:rsidR="005C567D">
        <w:rPr>
          <w:rFonts w:ascii="Arial" w:hAnsi="Arial" w:cs="Arial"/>
          <w:sz w:val="22"/>
          <w:szCs w:val="22"/>
        </w:rPr>
        <w:t>ose health outcomes are poorest;</w:t>
      </w:r>
    </w:p>
    <w:p w:rsidR="003D5F33" w:rsidRPr="003D5F33" w:rsidRDefault="003D5F33" w:rsidP="003D5F33">
      <w:pPr>
        <w:pStyle w:val="ListParagraph"/>
        <w:numPr>
          <w:ilvl w:val="0"/>
          <w:numId w:val="19"/>
        </w:numPr>
        <w:rPr>
          <w:rFonts w:cs="Arial"/>
        </w:rPr>
      </w:pPr>
      <w:r w:rsidRPr="003D5F33">
        <w:rPr>
          <w:rFonts w:cs="Arial"/>
        </w:rPr>
        <w:t>Shifting the balance of care from hospital and residential settings to community based alternatives</w:t>
      </w:r>
      <w:r w:rsidR="005C567D">
        <w:rPr>
          <w:rFonts w:cs="Arial"/>
        </w:rPr>
        <w:t>; and</w:t>
      </w:r>
    </w:p>
    <w:p w:rsidR="003D5F33" w:rsidRPr="003D5F33" w:rsidRDefault="003D5F33" w:rsidP="003D5F33">
      <w:pPr>
        <w:pStyle w:val="ListBullet"/>
        <w:numPr>
          <w:ilvl w:val="0"/>
          <w:numId w:val="19"/>
        </w:numPr>
        <w:tabs>
          <w:tab w:val="left" w:pos="720"/>
        </w:tabs>
        <w:rPr>
          <w:rFonts w:ascii="Arial" w:hAnsi="Arial" w:cs="Arial"/>
          <w:sz w:val="22"/>
          <w:szCs w:val="22"/>
        </w:rPr>
      </w:pPr>
      <w:r w:rsidRPr="003D5F33">
        <w:rPr>
          <w:rFonts w:ascii="Arial" w:hAnsi="Arial" w:cs="Arial"/>
          <w:sz w:val="22"/>
          <w:szCs w:val="22"/>
        </w:rPr>
        <w:t>Carers and in particular those on low incomes are fully supported to access financial advice and information and practical wellbeing support.</w:t>
      </w:r>
    </w:p>
    <w:p w:rsidR="003D5F33" w:rsidRPr="003D5F33" w:rsidRDefault="003D5F33" w:rsidP="003D5F33">
      <w:pPr>
        <w:pStyle w:val="ListParagraph"/>
        <w:ind w:left="360"/>
        <w:rPr>
          <w:rFonts w:cs="Arial"/>
          <w:b/>
          <w:sz w:val="16"/>
          <w:szCs w:val="16"/>
        </w:rPr>
      </w:pPr>
    </w:p>
    <w:p w:rsidR="003D5F33" w:rsidRPr="003D5F33" w:rsidRDefault="003D5F33" w:rsidP="003D5F33">
      <w:pPr>
        <w:rPr>
          <w:rFonts w:cs="Arial"/>
          <w:sz w:val="16"/>
          <w:szCs w:val="16"/>
        </w:rPr>
      </w:pPr>
    </w:p>
    <w:p w:rsidR="009920E2" w:rsidRPr="006D34F6" w:rsidRDefault="009920E2" w:rsidP="009920E2">
      <w:pPr>
        <w:rPr>
          <w:rFonts w:cs="Arial"/>
        </w:rPr>
      </w:pPr>
    </w:p>
    <w:p w:rsidR="009920E2" w:rsidRPr="006D34F6" w:rsidRDefault="009920E2" w:rsidP="009920E2">
      <w:pPr>
        <w:rPr>
          <w:rFonts w:cs="Arial"/>
        </w:rPr>
      </w:pPr>
    </w:p>
    <w:p w:rsidR="009920E2" w:rsidRDefault="009920E2" w:rsidP="009920E2">
      <w:pPr>
        <w:rPr>
          <w:rFonts w:cs="Arial"/>
          <w:b/>
          <w:sz w:val="24"/>
          <w:szCs w:val="24"/>
        </w:rPr>
        <w:sectPr w:rsidR="009920E2" w:rsidSect="003E42BD">
          <w:footerReference w:type="default" r:id="rId9"/>
          <w:pgSz w:w="11906" w:h="16838"/>
          <w:pgMar w:top="1440" w:right="1440" w:bottom="1440" w:left="1440" w:header="708" w:footer="708" w:gutter="0"/>
          <w:cols w:space="708"/>
          <w:docGrid w:linePitch="360"/>
        </w:sectPr>
      </w:pPr>
      <w:r>
        <w:rPr>
          <w:rFonts w:cs="Arial"/>
        </w:rPr>
        <w:t xml:space="preserve"> </w:t>
      </w:r>
    </w:p>
    <w:p w:rsidR="00763BD7" w:rsidRPr="00763BD7" w:rsidRDefault="008D0079" w:rsidP="00763BD7">
      <w:pPr>
        <w:rPr>
          <w:rFonts w:cs="Arial"/>
          <w:b/>
          <w:sz w:val="24"/>
          <w:szCs w:val="24"/>
        </w:rPr>
      </w:pPr>
      <w:r>
        <w:rPr>
          <w:rFonts w:cs="Arial"/>
          <w:b/>
          <w:sz w:val="24"/>
          <w:szCs w:val="24"/>
        </w:rPr>
        <w:t>PIP</w:t>
      </w:r>
      <w:r w:rsidR="00763BD7" w:rsidRPr="00763BD7">
        <w:rPr>
          <w:rFonts w:cs="Arial"/>
          <w:b/>
          <w:sz w:val="24"/>
          <w:szCs w:val="24"/>
        </w:rPr>
        <w:t xml:space="preserve"> – Health and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CCFF"/>
        <w:tblLayout w:type="fixed"/>
        <w:tblLook w:val="01E0" w:firstRow="1" w:lastRow="1" w:firstColumn="1" w:lastColumn="1" w:noHBand="0" w:noVBand="0"/>
      </w:tblPr>
      <w:tblGrid>
        <w:gridCol w:w="14174"/>
      </w:tblGrid>
      <w:tr w:rsidR="00763BD7" w:rsidRPr="00EF7678" w:rsidTr="00736EC7">
        <w:trPr>
          <w:trHeight w:val="384"/>
        </w:trPr>
        <w:tc>
          <w:tcPr>
            <w:tcW w:w="14174" w:type="dxa"/>
            <w:tcBorders>
              <w:top w:val="single" w:sz="4" w:space="0" w:color="auto"/>
              <w:left w:val="single" w:sz="4" w:space="0" w:color="auto"/>
              <w:bottom w:val="single" w:sz="4" w:space="0" w:color="auto"/>
              <w:right w:val="single" w:sz="4" w:space="0" w:color="auto"/>
            </w:tcBorders>
            <w:shd w:val="clear" w:color="auto" w:fill="FFFF00"/>
          </w:tcPr>
          <w:p w:rsidR="00763BD7" w:rsidRPr="00EF7678" w:rsidRDefault="00393642" w:rsidP="00EF7678">
            <w:pPr>
              <w:pStyle w:val="ListBullet"/>
              <w:numPr>
                <w:ilvl w:val="0"/>
                <w:numId w:val="0"/>
              </w:numPr>
              <w:tabs>
                <w:tab w:val="left" w:pos="720"/>
              </w:tabs>
              <w:rPr>
                <w:rFonts w:ascii="Arial" w:hAnsi="Arial" w:cs="Arial"/>
                <w:b/>
                <w:sz w:val="22"/>
                <w:szCs w:val="22"/>
              </w:rPr>
            </w:pPr>
            <w:r w:rsidRPr="00EF7678">
              <w:rPr>
                <w:rFonts w:ascii="Arial" w:hAnsi="Arial" w:cs="Arial"/>
                <w:b/>
                <w:sz w:val="22"/>
                <w:szCs w:val="22"/>
              </w:rPr>
              <w:t>Priority</w:t>
            </w:r>
            <w:r w:rsidR="00763BD7" w:rsidRPr="00EF7678">
              <w:rPr>
                <w:rFonts w:ascii="Arial" w:hAnsi="Arial" w:cs="Arial"/>
                <w:b/>
                <w:sz w:val="22"/>
                <w:szCs w:val="22"/>
              </w:rPr>
              <w:t xml:space="preserve"> Outcome 1:  Individuals families and communities are empowered to take preventative action to support positive health and wellbeing with a focus on communities and groups whose health outcomes are poorest</w:t>
            </w:r>
          </w:p>
        </w:tc>
      </w:tr>
      <w:tr w:rsidR="00763BD7" w:rsidRPr="00763BD7" w:rsidTr="00736EC7">
        <w:tblPrEx>
          <w:shd w:val="clear" w:color="auto" w:fill="auto"/>
        </w:tblPrEx>
        <w:trPr>
          <w:trHeight w:val="344"/>
        </w:trPr>
        <w:tc>
          <w:tcPr>
            <w:tcW w:w="14174" w:type="dxa"/>
            <w:tcBorders>
              <w:top w:val="single" w:sz="4" w:space="0" w:color="auto"/>
              <w:left w:val="single" w:sz="4" w:space="0" w:color="auto"/>
              <w:bottom w:val="single" w:sz="4" w:space="0" w:color="auto"/>
              <w:right w:val="single" w:sz="4" w:space="0" w:color="auto"/>
            </w:tcBorders>
            <w:shd w:val="clear" w:color="auto" w:fill="FFFFFF" w:themeFill="background1"/>
          </w:tcPr>
          <w:p w:rsidR="00763BD7" w:rsidRPr="00763BD7" w:rsidRDefault="00763BD7" w:rsidP="00B45DB9">
            <w:pPr>
              <w:pStyle w:val="Default"/>
              <w:ind w:firstLine="0"/>
              <w:rPr>
                <w:sz w:val="22"/>
                <w:szCs w:val="22"/>
              </w:rPr>
            </w:pPr>
            <w:r w:rsidRPr="00763BD7">
              <w:rPr>
                <w:b/>
                <w:sz w:val="22"/>
                <w:szCs w:val="22"/>
              </w:rPr>
              <w:t xml:space="preserve">Rationale: </w:t>
            </w:r>
            <w:r w:rsidR="00483D56">
              <w:rPr>
                <w:sz w:val="22"/>
                <w:szCs w:val="22"/>
              </w:rPr>
              <w:t>I</w:t>
            </w:r>
            <w:r w:rsidRPr="00763BD7">
              <w:rPr>
                <w:sz w:val="22"/>
                <w:szCs w:val="22"/>
              </w:rPr>
              <w:t xml:space="preserve">f we are going to improve our population’s health and reduce local health inequalities and reduce demand on our services, it is of paramount importance that we work with communities, partners and staff to deliver initiatives that prevent ill health, and intervene early and avoid the escalation of need unnecessarily.  This will also require working with people to support them to care for themselves with a view to maximising resources that are under considerable pressure. </w:t>
            </w:r>
          </w:p>
          <w:p w:rsidR="00763BD7" w:rsidRPr="00763BD7" w:rsidRDefault="00763BD7" w:rsidP="00B45DB9">
            <w:pPr>
              <w:pStyle w:val="Default"/>
              <w:ind w:firstLine="0"/>
              <w:rPr>
                <w:sz w:val="22"/>
                <w:szCs w:val="22"/>
              </w:rPr>
            </w:pPr>
          </w:p>
          <w:p w:rsidR="00763BD7" w:rsidRPr="00763BD7" w:rsidRDefault="00763BD7" w:rsidP="00B45DB9">
            <w:pPr>
              <w:pStyle w:val="ListBullet"/>
              <w:numPr>
                <w:ilvl w:val="0"/>
                <w:numId w:val="0"/>
              </w:numPr>
              <w:tabs>
                <w:tab w:val="left" w:pos="720"/>
              </w:tabs>
              <w:rPr>
                <w:rFonts w:ascii="Arial" w:hAnsi="Arial" w:cs="Arial"/>
                <w:sz w:val="22"/>
                <w:szCs w:val="22"/>
              </w:rPr>
            </w:pPr>
            <w:r w:rsidRPr="00763BD7">
              <w:rPr>
                <w:rFonts w:ascii="Arial" w:hAnsi="Arial" w:cs="Arial"/>
                <w:b/>
                <w:sz w:val="22"/>
                <w:szCs w:val="22"/>
              </w:rPr>
              <w:t xml:space="preserve">Context: </w:t>
            </w:r>
            <w:r w:rsidRPr="00763BD7">
              <w:rPr>
                <w:rFonts w:ascii="Arial" w:hAnsi="Arial" w:cs="Arial"/>
                <w:sz w:val="22"/>
                <w:szCs w:val="22"/>
              </w:rPr>
              <w:t xml:space="preserve">South Lanarkshire wide population health is generally on a par with Scotland but when we drill down to smaller </w:t>
            </w:r>
            <w:r w:rsidR="00E5241A" w:rsidRPr="00763BD7">
              <w:rPr>
                <w:rFonts w:ascii="Arial" w:hAnsi="Arial" w:cs="Arial"/>
                <w:sz w:val="22"/>
                <w:szCs w:val="22"/>
              </w:rPr>
              <w:t>geographical</w:t>
            </w:r>
            <w:r w:rsidRPr="00763BD7">
              <w:rPr>
                <w:rFonts w:ascii="Arial" w:hAnsi="Arial" w:cs="Arial"/>
                <w:sz w:val="22"/>
                <w:szCs w:val="22"/>
              </w:rPr>
              <w:t xml:space="preserve"> levels, the health inequalities can be significant.  However, we know that poverty is one of the most significant contributors to health inequalities.  </w:t>
            </w:r>
          </w:p>
          <w:p w:rsidR="00763BD7" w:rsidRPr="00763BD7" w:rsidRDefault="00763BD7" w:rsidP="00B45DB9">
            <w:pPr>
              <w:pStyle w:val="ListBullet"/>
              <w:numPr>
                <w:ilvl w:val="0"/>
                <w:numId w:val="0"/>
              </w:numPr>
              <w:tabs>
                <w:tab w:val="left" w:pos="720"/>
              </w:tabs>
              <w:rPr>
                <w:rFonts w:ascii="Arial" w:hAnsi="Arial" w:cs="Arial"/>
                <w:sz w:val="22"/>
                <w:szCs w:val="22"/>
              </w:rPr>
            </w:pPr>
          </w:p>
          <w:p w:rsidR="00763BD7" w:rsidRPr="003E42BD" w:rsidRDefault="00763BD7" w:rsidP="003E42BD">
            <w:pPr>
              <w:pStyle w:val="ListBullet"/>
              <w:numPr>
                <w:ilvl w:val="0"/>
                <w:numId w:val="0"/>
              </w:numPr>
              <w:tabs>
                <w:tab w:val="left" w:pos="720"/>
              </w:tabs>
              <w:rPr>
                <w:sz w:val="22"/>
                <w:szCs w:val="22"/>
              </w:rPr>
            </w:pPr>
            <w:r w:rsidRPr="003E42BD">
              <w:rPr>
                <w:rFonts w:ascii="Arial" w:hAnsi="Arial" w:cs="Arial"/>
                <w:b/>
                <w:sz w:val="22"/>
                <w:szCs w:val="22"/>
              </w:rPr>
              <w:t>Life Expectancy</w:t>
            </w:r>
          </w:p>
          <w:p w:rsidR="00763BD7" w:rsidRPr="00763BD7" w:rsidRDefault="00763BD7" w:rsidP="00B45DB9">
            <w:pPr>
              <w:pStyle w:val="Default"/>
              <w:ind w:firstLine="0"/>
              <w:rPr>
                <w:color w:val="auto"/>
                <w:sz w:val="22"/>
                <w:szCs w:val="22"/>
              </w:rPr>
            </w:pPr>
            <w:r w:rsidRPr="00763BD7">
              <w:rPr>
                <w:color w:val="auto"/>
                <w:sz w:val="22"/>
                <w:szCs w:val="22"/>
              </w:rPr>
              <w:t xml:space="preserve">Life expectancy at birth in the most 15% deprived areas for men is 71.1 years and this is 6.6 years less than those born in the rest of South Lanarkshire or 77.7 years.  No matter where men are born they are expected to have shorter lives than women.  </w:t>
            </w:r>
          </w:p>
          <w:p w:rsidR="00763BD7" w:rsidRPr="00763BD7" w:rsidRDefault="00763BD7" w:rsidP="00B45DB9">
            <w:pPr>
              <w:pStyle w:val="Default"/>
              <w:ind w:firstLine="0"/>
              <w:rPr>
                <w:color w:val="auto"/>
                <w:sz w:val="22"/>
                <w:szCs w:val="22"/>
              </w:rPr>
            </w:pPr>
          </w:p>
          <w:p w:rsidR="00763BD7" w:rsidRPr="00763BD7" w:rsidRDefault="00763BD7" w:rsidP="00B45DB9">
            <w:pPr>
              <w:pStyle w:val="Default"/>
              <w:ind w:firstLine="0"/>
              <w:rPr>
                <w:color w:val="auto"/>
                <w:sz w:val="22"/>
                <w:szCs w:val="22"/>
              </w:rPr>
            </w:pPr>
            <w:r w:rsidRPr="00763BD7">
              <w:rPr>
                <w:b/>
                <w:color w:val="auto"/>
                <w:sz w:val="22"/>
                <w:szCs w:val="22"/>
              </w:rPr>
              <w:t>Life Expectancy – Male</w:t>
            </w:r>
            <w:r w:rsidR="002A5331">
              <w:rPr>
                <w:color w:val="auto"/>
                <w:sz w:val="22"/>
                <w:szCs w:val="22"/>
              </w:rPr>
              <w:t xml:space="preserve"> - 71.1</w:t>
            </w:r>
            <w:r w:rsidRPr="00763BD7">
              <w:rPr>
                <w:color w:val="auto"/>
                <w:sz w:val="22"/>
                <w:szCs w:val="22"/>
              </w:rPr>
              <w:t xml:space="preserve"> years in t</w:t>
            </w:r>
            <w:r w:rsidR="002A5331">
              <w:rPr>
                <w:color w:val="auto"/>
                <w:sz w:val="22"/>
                <w:szCs w:val="22"/>
              </w:rPr>
              <w:t>he most deprived area against 77.7</w:t>
            </w:r>
            <w:r w:rsidRPr="00763BD7">
              <w:rPr>
                <w:color w:val="auto"/>
                <w:sz w:val="22"/>
                <w:szCs w:val="22"/>
              </w:rPr>
              <w:t xml:space="preserve"> years in the least deprived</w:t>
            </w:r>
          </w:p>
          <w:p w:rsidR="00763BD7" w:rsidRPr="00763BD7" w:rsidRDefault="00763BD7" w:rsidP="00B45DB9">
            <w:pPr>
              <w:pStyle w:val="Default"/>
              <w:ind w:firstLine="0"/>
              <w:rPr>
                <w:color w:val="auto"/>
                <w:sz w:val="22"/>
                <w:szCs w:val="22"/>
              </w:rPr>
            </w:pPr>
            <w:r w:rsidRPr="00763BD7">
              <w:rPr>
                <w:b/>
                <w:color w:val="auto"/>
                <w:sz w:val="22"/>
                <w:szCs w:val="22"/>
              </w:rPr>
              <w:t>Life Expectancy – Female</w:t>
            </w:r>
            <w:r w:rsidR="002A5331">
              <w:rPr>
                <w:color w:val="auto"/>
                <w:sz w:val="22"/>
                <w:szCs w:val="22"/>
              </w:rPr>
              <w:t xml:space="preserve"> - 77.6</w:t>
            </w:r>
            <w:r w:rsidRPr="00763BD7">
              <w:rPr>
                <w:color w:val="auto"/>
                <w:sz w:val="22"/>
                <w:szCs w:val="22"/>
              </w:rPr>
              <w:t xml:space="preserve"> years in the</w:t>
            </w:r>
            <w:r w:rsidR="002A5331">
              <w:rPr>
                <w:color w:val="auto"/>
                <w:sz w:val="22"/>
                <w:szCs w:val="22"/>
              </w:rPr>
              <w:t xml:space="preserve"> most deprived area against 81.2</w:t>
            </w:r>
            <w:r w:rsidRPr="00763BD7">
              <w:rPr>
                <w:color w:val="auto"/>
                <w:sz w:val="22"/>
                <w:szCs w:val="22"/>
              </w:rPr>
              <w:t xml:space="preserve"> years in the least deprived</w:t>
            </w:r>
          </w:p>
          <w:p w:rsidR="00763BD7" w:rsidRPr="003E42BD" w:rsidRDefault="00763BD7" w:rsidP="00B45DB9">
            <w:pPr>
              <w:pStyle w:val="ListBullet"/>
              <w:numPr>
                <w:ilvl w:val="0"/>
                <w:numId w:val="0"/>
              </w:numPr>
              <w:tabs>
                <w:tab w:val="left" w:pos="720"/>
              </w:tabs>
              <w:rPr>
                <w:rFonts w:ascii="Arial" w:hAnsi="Arial" w:cs="Arial"/>
                <w:b/>
                <w:sz w:val="22"/>
                <w:szCs w:val="22"/>
              </w:rPr>
            </w:pPr>
          </w:p>
          <w:p w:rsidR="00763BD7" w:rsidRPr="003E42BD" w:rsidRDefault="00763BD7" w:rsidP="00B45DB9">
            <w:pPr>
              <w:pStyle w:val="ListBullet"/>
              <w:numPr>
                <w:ilvl w:val="0"/>
                <w:numId w:val="0"/>
              </w:numPr>
              <w:tabs>
                <w:tab w:val="left" w:pos="720"/>
              </w:tabs>
              <w:rPr>
                <w:rFonts w:ascii="Arial" w:hAnsi="Arial" w:cs="Arial"/>
                <w:b/>
                <w:sz w:val="22"/>
                <w:szCs w:val="22"/>
              </w:rPr>
            </w:pPr>
            <w:r w:rsidRPr="003E42BD">
              <w:rPr>
                <w:rFonts w:ascii="Arial" w:hAnsi="Arial" w:cs="Arial"/>
                <w:b/>
                <w:sz w:val="22"/>
                <w:szCs w:val="22"/>
              </w:rPr>
              <w:t>Long Term Conditions</w:t>
            </w:r>
            <w:r w:rsidR="003E42BD" w:rsidRPr="003E42BD">
              <w:rPr>
                <w:rFonts w:ascii="Arial" w:hAnsi="Arial" w:cs="Arial"/>
                <w:b/>
                <w:sz w:val="22"/>
                <w:szCs w:val="22"/>
              </w:rPr>
              <w:t xml:space="preserve"> (LTC)</w:t>
            </w:r>
          </w:p>
          <w:p w:rsidR="00763BD7" w:rsidRPr="00763BD7" w:rsidRDefault="00763BD7" w:rsidP="00B45DB9">
            <w:pPr>
              <w:pStyle w:val="ListBullet"/>
              <w:numPr>
                <w:ilvl w:val="0"/>
                <w:numId w:val="0"/>
              </w:numPr>
              <w:tabs>
                <w:tab w:val="left" w:pos="720"/>
              </w:tabs>
              <w:rPr>
                <w:rFonts w:ascii="Arial" w:hAnsi="Arial" w:cs="Arial"/>
                <w:sz w:val="22"/>
                <w:szCs w:val="22"/>
              </w:rPr>
            </w:pPr>
            <w:r w:rsidRPr="00763BD7">
              <w:rPr>
                <w:rFonts w:ascii="Arial" w:hAnsi="Arial" w:cs="Arial"/>
                <w:sz w:val="22"/>
                <w:szCs w:val="22"/>
              </w:rPr>
              <w:t>Based on current projections, we know that people with one or more long term condition is projected to increase.  For example:</w:t>
            </w:r>
          </w:p>
          <w:p w:rsidR="00763BD7" w:rsidRPr="00763BD7" w:rsidRDefault="00763BD7" w:rsidP="00B45DB9">
            <w:pPr>
              <w:pStyle w:val="ListBullet"/>
              <w:numPr>
                <w:ilvl w:val="0"/>
                <w:numId w:val="0"/>
              </w:numPr>
              <w:tabs>
                <w:tab w:val="left" w:pos="720"/>
              </w:tabs>
              <w:rPr>
                <w:rFonts w:ascii="Arial" w:hAnsi="Arial" w:cs="Arial"/>
                <w:b/>
                <w:sz w:val="22"/>
                <w:szCs w:val="22"/>
              </w:rPr>
            </w:pPr>
          </w:p>
          <w:p w:rsidR="005D0EDA" w:rsidRPr="003E42BD" w:rsidRDefault="00763BD7" w:rsidP="00B45DB9">
            <w:pPr>
              <w:jc w:val="both"/>
              <w:rPr>
                <w:rFonts w:cs="Arial"/>
                <w:b/>
              </w:rPr>
            </w:pPr>
            <w:r w:rsidRPr="00763BD7">
              <w:rPr>
                <w:rFonts w:cs="Arial"/>
                <w:b/>
                <w:i/>
              </w:rPr>
              <w:tab/>
            </w:r>
            <w:r w:rsidRPr="003E42BD">
              <w:rPr>
                <w:rFonts w:cs="Arial"/>
                <w:b/>
              </w:rPr>
              <w:t>People with One Long Term Condition</w:t>
            </w:r>
          </w:p>
          <w:p w:rsidR="00763BD7" w:rsidRPr="005D0EDA" w:rsidRDefault="00763BD7" w:rsidP="005D0EDA">
            <w:pPr>
              <w:pStyle w:val="ListParagraph"/>
              <w:numPr>
                <w:ilvl w:val="0"/>
                <w:numId w:val="40"/>
              </w:numPr>
              <w:spacing w:line="276" w:lineRule="auto"/>
              <w:jc w:val="both"/>
              <w:rPr>
                <w:rFonts w:cs="Arial"/>
              </w:rPr>
            </w:pPr>
            <w:r w:rsidRPr="005D0EDA">
              <w:rPr>
                <w:rFonts w:cs="Arial"/>
              </w:rPr>
              <w:t>7,565 people aged 65-74 had one LTC in 2011/12 rising to 8,062 in 2013/14 or by 6.5%</w:t>
            </w:r>
          </w:p>
          <w:p w:rsidR="00763BD7" w:rsidRPr="005D0EDA" w:rsidRDefault="00763BD7" w:rsidP="005D0EDA">
            <w:pPr>
              <w:pStyle w:val="ListParagraph"/>
              <w:numPr>
                <w:ilvl w:val="0"/>
                <w:numId w:val="40"/>
              </w:numPr>
              <w:spacing w:line="276" w:lineRule="auto"/>
              <w:jc w:val="both"/>
              <w:rPr>
                <w:rFonts w:cs="Arial"/>
              </w:rPr>
            </w:pPr>
            <w:r w:rsidRPr="005D0EDA">
              <w:rPr>
                <w:rFonts w:cs="Arial"/>
              </w:rPr>
              <w:t>5,324 people aged 75-84 had one LTC in 2011/12 rising to 5,569 in 2013/14 or by 4.6%</w:t>
            </w:r>
          </w:p>
          <w:p w:rsidR="00763BD7" w:rsidRPr="005D0EDA" w:rsidRDefault="00763BD7" w:rsidP="005D0EDA">
            <w:pPr>
              <w:pStyle w:val="ListParagraph"/>
              <w:numPr>
                <w:ilvl w:val="0"/>
                <w:numId w:val="40"/>
              </w:numPr>
              <w:spacing w:line="276" w:lineRule="auto"/>
              <w:jc w:val="both"/>
              <w:rPr>
                <w:rFonts w:cs="Arial"/>
              </w:rPr>
            </w:pPr>
            <w:r w:rsidRPr="005D0EDA">
              <w:rPr>
                <w:rFonts w:cs="Arial"/>
              </w:rPr>
              <w:t>1,710 people aged 85+ had one LTC in 2011/12 rising to 1,755 in 2013/14 or by 2.6%</w:t>
            </w:r>
          </w:p>
          <w:p w:rsidR="00763BD7" w:rsidRPr="003E42BD" w:rsidRDefault="00763BD7" w:rsidP="00B45DB9">
            <w:pPr>
              <w:jc w:val="both"/>
              <w:rPr>
                <w:rFonts w:cs="Arial"/>
              </w:rPr>
            </w:pPr>
          </w:p>
          <w:p w:rsidR="00763BD7" w:rsidRPr="003E42BD" w:rsidRDefault="00763BD7" w:rsidP="00B45DB9">
            <w:pPr>
              <w:jc w:val="both"/>
              <w:rPr>
                <w:rFonts w:cs="Arial"/>
                <w:b/>
              </w:rPr>
            </w:pPr>
            <w:r w:rsidRPr="003E42BD">
              <w:rPr>
                <w:rFonts w:cs="Arial"/>
                <w:b/>
              </w:rPr>
              <w:tab/>
              <w:t>People with Three Long Term Conditions</w:t>
            </w:r>
          </w:p>
          <w:p w:rsidR="00763BD7" w:rsidRPr="00E900CE" w:rsidRDefault="00763BD7" w:rsidP="00E900CE">
            <w:pPr>
              <w:pStyle w:val="ListParagraph"/>
              <w:numPr>
                <w:ilvl w:val="0"/>
                <w:numId w:val="41"/>
              </w:numPr>
              <w:spacing w:line="276" w:lineRule="auto"/>
              <w:jc w:val="both"/>
              <w:rPr>
                <w:rFonts w:cs="Arial"/>
              </w:rPr>
            </w:pPr>
            <w:r w:rsidRPr="00E900CE">
              <w:rPr>
                <w:rFonts w:cs="Arial"/>
              </w:rPr>
              <w:t>1,403 people aged 65-74 had three LTCs in 2011/12 rising to 1,460 in 2013/14 or by 4.1%</w:t>
            </w:r>
          </w:p>
          <w:p w:rsidR="00763BD7" w:rsidRPr="00E900CE" w:rsidRDefault="00763BD7" w:rsidP="00E900CE">
            <w:pPr>
              <w:pStyle w:val="ListParagraph"/>
              <w:numPr>
                <w:ilvl w:val="0"/>
                <w:numId w:val="41"/>
              </w:numPr>
              <w:spacing w:line="276" w:lineRule="auto"/>
              <w:jc w:val="both"/>
              <w:rPr>
                <w:rFonts w:cs="Arial"/>
              </w:rPr>
            </w:pPr>
            <w:r w:rsidRPr="00E900CE">
              <w:rPr>
                <w:rFonts w:cs="Arial"/>
              </w:rPr>
              <w:t>1,597 people aged 75-84 had three LTC in 2011/12 rising to 1,805 in 2013/14 or by 13%</w:t>
            </w:r>
          </w:p>
          <w:p w:rsidR="00763BD7" w:rsidRPr="00E900CE" w:rsidRDefault="00763BD7" w:rsidP="00E900CE">
            <w:pPr>
              <w:pStyle w:val="ListParagraph"/>
              <w:numPr>
                <w:ilvl w:val="0"/>
                <w:numId w:val="41"/>
              </w:numPr>
              <w:spacing w:line="276" w:lineRule="auto"/>
              <w:jc w:val="both"/>
              <w:rPr>
                <w:rFonts w:cs="Arial"/>
              </w:rPr>
            </w:pPr>
            <w:r w:rsidRPr="00E900CE">
              <w:rPr>
                <w:rFonts w:cs="Arial"/>
              </w:rPr>
              <w:t>749 people aged 85+ had three LTC in 2011/12 rising to 876 in 2013/14 or by 17%</w:t>
            </w:r>
          </w:p>
          <w:p w:rsidR="00EF7678" w:rsidRPr="003E42BD" w:rsidRDefault="00EF7678" w:rsidP="00EF7678">
            <w:pPr>
              <w:spacing w:line="276" w:lineRule="auto"/>
              <w:ind w:left="1080"/>
              <w:jc w:val="both"/>
              <w:rPr>
                <w:rFonts w:cs="Arial"/>
              </w:rPr>
            </w:pPr>
          </w:p>
          <w:p w:rsidR="00763BD7" w:rsidRPr="003E42BD" w:rsidRDefault="00763BD7" w:rsidP="00B45DB9">
            <w:pPr>
              <w:pStyle w:val="ListBullet"/>
              <w:numPr>
                <w:ilvl w:val="0"/>
                <w:numId w:val="0"/>
              </w:numPr>
              <w:tabs>
                <w:tab w:val="left" w:pos="720"/>
              </w:tabs>
              <w:rPr>
                <w:rFonts w:ascii="Arial" w:hAnsi="Arial" w:cs="Arial"/>
                <w:sz w:val="22"/>
                <w:szCs w:val="22"/>
              </w:rPr>
            </w:pPr>
            <w:r w:rsidRPr="003E42BD">
              <w:rPr>
                <w:rFonts w:ascii="Arial" w:hAnsi="Arial" w:cs="Arial"/>
                <w:sz w:val="22"/>
                <w:szCs w:val="22"/>
              </w:rPr>
              <w:t>Within this, the long term conditions with the most significant prevalence and projected increases are as follows:</w:t>
            </w:r>
          </w:p>
          <w:p w:rsidR="00763BD7" w:rsidRDefault="00763BD7" w:rsidP="00E900CE">
            <w:pPr>
              <w:pStyle w:val="ListBullet"/>
              <w:numPr>
                <w:ilvl w:val="0"/>
                <w:numId w:val="42"/>
              </w:numPr>
              <w:tabs>
                <w:tab w:val="left" w:pos="720"/>
              </w:tabs>
              <w:rPr>
                <w:rFonts w:ascii="Arial" w:hAnsi="Arial" w:cs="Arial"/>
                <w:sz w:val="22"/>
                <w:szCs w:val="22"/>
              </w:rPr>
            </w:pPr>
            <w:r w:rsidRPr="003E42BD">
              <w:rPr>
                <w:rFonts w:ascii="Arial" w:hAnsi="Arial" w:cs="Arial"/>
                <w:sz w:val="22"/>
                <w:szCs w:val="22"/>
              </w:rPr>
              <w:t>People with Coronary Heart disease is projected to increase by 11.3% between 2016 and 2021</w:t>
            </w:r>
          </w:p>
          <w:p w:rsidR="00E900CE" w:rsidRDefault="00E900CE" w:rsidP="00E900CE">
            <w:pPr>
              <w:pStyle w:val="ListBullet"/>
              <w:numPr>
                <w:ilvl w:val="0"/>
                <w:numId w:val="42"/>
              </w:numPr>
              <w:tabs>
                <w:tab w:val="left" w:pos="720"/>
              </w:tabs>
              <w:rPr>
                <w:rFonts w:ascii="Arial" w:hAnsi="Arial" w:cs="Arial"/>
                <w:sz w:val="22"/>
                <w:szCs w:val="22"/>
              </w:rPr>
            </w:pPr>
            <w:r>
              <w:rPr>
                <w:rFonts w:ascii="Arial" w:hAnsi="Arial" w:cs="Arial"/>
                <w:sz w:val="22"/>
                <w:szCs w:val="22"/>
              </w:rPr>
              <w:t>The number of people affected by stroke is projected to increase by 9.2% between 2016 and 2021</w:t>
            </w:r>
          </w:p>
          <w:p w:rsidR="00E900CE" w:rsidRDefault="00E900CE" w:rsidP="00E900CE">
            <w:pPr>
              <w:pStyle w:val="ListBullet"/>
              <w:numPr>
                <w:ilvl w:val="0"/>
                <w:numId w:val="42"/>
              </w:numPr>
              <w:tabs>
                <w:tab w:val="left" w:pos="720"/>
              </w:tabs>
              <w:rPr>
                <w:rFonts w:ascii="Arial" w:hAnsi="Arial" w:cs="Arial"/>
                <w:sz w:val="22"/>
                <w:szCs w:val="22"/>
              </w:rPr>
            </w:pPr>
            <w:r>
              <w:rPr>
                <w:rFonts w:ascii="Arial" w:hAnsi="Arial" w:cs="Arial"/>
                <w:sz w:val="22"/>
                <w:szCs w:val="22"/>
              </w:rPr>
              <w:t>The number of people with diabetes is projected to increase by 5.2% between 2016 and 2021</w:t>
            </w:r>
          </w:p>
          <w:p w:rsidR="00E900CE" w:rsidRPr="00E900CE" w:rsidRDefault="00E900CE" w:rsidP="00E900CE">
            <w:pPr>
              <w:pStyle w:val="ListBullet"/>
              <w:numPr>
                <w:ilvl w:val="0"/>
                <w:numId w:val="42"/>
              </w:numPr>
              <w:tabs>
                <w:tab w:val="left" w:pos="720"/>
              </w:tabs>
              <w:rPr>
                <w:rFonts w:ascii="Arial" w:hAnsi="Arial" w:cs="Arial"/>
                <w:sz w:val="22"/>
                <w:szCs w:val="22"/>
              </w:rPr>
            </w:pPr>
            <w:r>
              <w:rPr>
                <w:rFonts w:ascii="Arial" w:hAnsi="Arial" w:cs="Arial"/>
                <w:sz w:val="22"/>
                <w:szCs w:val="22"/>
              </w:rPr>
              <w:t>The number of people with a physical disability is projected to increase by 5.1% between 2016 and 2021</w:t>
            </w:r>
          </w:p>
          <w:p w:rsidR="00763BD7" w:rsidRPr="00763BD7" w:rsidRDefault="00763BD7" w:rsidP="00B45DB9">
            <w:pPr>
              <w:pStyle w:val="ListBullet"/>
              <w:numPr>
                <w:ilvl w:val="0"/>
                <w:numId w:val="0"/>
              </w:numPr>
              <w:tabs>
                <w:tab w:val="left" w:pos="720"/>
              </w:tabs>
              <w:rPr>
                <w:rFonts w:ascii="Arial" w:hAnsi="Arial" w:cs="Arial"/>
                <w:b/>
                <w:i/>
                <w:sz w:val="16"/>
                <w:szCs w:val="16"/>
              </w:rPr>
            </w:pPr>
          </w:p>
          <w:p w:rsidR="00763BD7" w:rsidRPr="003E42BD" w:rsidRDefault="00763BD7" w:rsidP="00B45DB9">
            <w:pPr>
              <w:pStyle w:val="ListBullet"/>
              <w:numPr>
                <w:ilvl w:val="0"/>
                <w:numId w:val="0"/>
              </w:numPr>
              <w:tabs>
                <w:tab w:val="left" w:pos="720"/>
              </w:tabs>
              <w:rPr>
                <w:rFonts w:ascii="Arial" w:hAnsi="Arial" w:cs="Arial"/>
                <w:b/>
                <w:sz w:val="22"/>
                <w:szCs w:val="22"/>
              </w:rPr>
            </w:pPr>
            <w:r w:rsidRPr="003E42BD">
              <w:rPr>
                <w:rFonts w:ascii="Arial" w:hAnsi="Arial" w:cs="Arial"/>
                <w:b/>
                <w:sz w:val="22"/>
                <w:szCs w:val="22"/>
              </w:rPr>
              <w:t>Mental Health, Learning Disability, Substance Misuse and Smoking</w:t>
            </w:r>
          </w:p>
          <w:p w:rsidR="00763BD7" w:rsidRPr="003E42BD" w:rsidRDefault="00763BD7" w:rsidP="00B45DB9">
            <w:pPr>
              <w:pStyle w:val="Default"/>
              <w:ind w:firstLine="0"/>
              <w:rPr>
                <w:color w:val="auto"/>
                <w:sz w:val="22"/>
                <w:szCs w:val="22"/>
              </w:rPr>
            </w:pPr>
            <w:r w:rsidRPr="003E42BD">
              <w:rPr>
                <w:color w:val="auto"/>
                <w:sz w:val="22"/>
                <w:szCs w:val="22"/>
              </w:rPr>
              <w:t>Equally, the prevalence of mental health, substance misuse and smoking is more pronounced in more deprived areas, thus impacting on overall health and wellbeing outcomes as the following data shows:</w:t>
            </w:r>
          </w:p>
          <w:p w:rsidR="00763BD7" w:rsidRPr="003E42BD" w:rsidRDefault="00763BD7" w:rsidP="00B45DB9">
            <w:pPr>
              <w:pStyle w:val="Default"/>
              <w:ind w:firstLine="0"/>
              <w:rPr>
                <w:color w:val="auto"/>
                <w:sz w:val="16"/>
                <w:szCs w:val="16"/>
              </w:rPr>
            </w:pPr>
          </w:p>
          <w:p w:rsidR="00763BD7" w:rsidRPr="003E42BD" w:rsidRDefault="00763BD7" w:rsidP="00B45DB9">
            <w:pPr>
              <w:pStyle w:val="Default"/>
              <w:numPr>
                <w:ilvl w:val="0"/>
                <w:numId w:val="32"/>
              </w:numPr>
              <w:rPr>
                <w:color w:val="auto"/>
                <w:sz w:val="22"/>
                <w:szCs w:val="22"/>
              </w:rPr>
            </w:pPr>
            <w:r w:rsidRPr="003E42BD">
              <w:rPr>
                <w:color w:val="auto"/>
                <w:sz w:val="22"/>
                <w:szCs w:val="22"/>
              </w:rPr>
              <w:t>In 2014, the number of working age adults who had a mental health/learning disability in South Lanarkshire was 15,180 or 15.6% of the adult population.  This is quite a bit higher than the Scottish average of 12.2%</w:t>
            </w:r>
          </w:p>
          <w:p w:rsidR="00763BD7" w:rsidRPr="003E42BD" w:rsidRDefault="007344B1" w:rsidP="00B45DB9">
            <w:pPr>
              <w:pStyle w:val="Default"/>
              <w:numPr>
                <w:ilvl w:val="0"/>
                <w:numId w:val="32"/>
              </w:numPr>
              <w:rPr>
                <w:color w:val="auto"/>
                <w:sz w:val="22"/>
                <w:szCs w:val="22"/>
              </w:rPr>
            </w:pPr>
            <w:r>
              <w:rPr>
                <w:b/>
                <w:color w:val="auto"/>
                <w:sz w:val="22"/>
                <w:szCs w:val="22"/>
              </w:rPr>
              <w:t>Prescriptions for anxiety, d</w:t>
            </w:r>
            <w:r w:rsidR="00763BD7" w:rsidRPr="003E42BD">
              <w:rPr>
                <w:b/>
                <w:color w:val="auto"/>
                <w:sz w:val="22"/>
                <w:szCs w:val="22"/>
              </w:rPr>
              <w:t xml:space="preserve">epression etc </w:t>
            </w:r>
            <w:r w:rsidR="00763BD7" w:rsidRPr="003E42BD">
              <w:rPr>
                <w:color w:val="auto"/>
                <w:sz w:val="22"/>
                <w:szCs w:val="22"/>
              </w:rPr>
              <w:t>- 10% in the most deprived area against 8% in the least deprived</w:t>
            </w:r>
          </w:p>
          <w:p w:rsidR="00763BD7" w:rsidRPr="003E42BD" w:rsidRDefault="00763BD7" w:rsidP="00B45DB9">
            <w:pPr>
              <w:pStyle w:val="Default"/>
              <w:numPr>
                <w:ilvl w:val="0"/>
                <w:numId w:val="32"/>
              </w:numPr>
              <w:rPr>
                <w:color w:val="auto"/>
                <w:sz w:val="22"/>
                <w:szCs w:val="22"/>
              </w:rPr>
            </w:pPr>
            <w:r w:rsidRPr="003E42BD">
              <w:rPr>
                <w:b/>
                <w:color w:val="auto"/>
                <w:sz w:val="22"/>
                <w:szCs w:val="22"/>
              </w:rPr>
              <w:t>S</w:t>
            </w:r>
            <w:r w:rsidR="007344B1">
              <w:rPr>
                <w:b/>
                <w:color w:val="auto"/>
                <w:sz w:val="22"/>
                <w:szCs w:val="22"/>
              </w:rPr>
              <w:t>moking rates for m</w:t>
            </w:r>
            <w:r w:rsidRPr="003E42BD">
              <w:rPr>
                <w:b/>
                <w:color w:val="auto"/>
                <w:sz w:val="22"/>
                <w:szCs w:val="22"/>
              </w:rPr>
              <w:t xml:space="preserve">others to be </w:t>
            </w:r>
            <w:r w:rsidR="00685B32">
              <w:rPr>
                <w:b/>
                <w:color w:val="auto"/>
                <w:sz w:val="22"/>
                <w:szCs w:val="22"/>
              </w:rPr>
              <w:t>–</w:t>
            </w:r>
            <w:r w:rsidRPr="003E42BD">
              <w:rPr>
                <w:b/>
                <w:color w:val="auto"/>
                <w:sz w:val="22"/>
                <w:szCs w:val="22"/>
              </w:rPr>
              <w:t xml:space="preserve"> </w:t>
            </w:r>
            <w:r w:rsidR="00685B32">
              <w:rPr>
                <w:color w:val="auto"/>
                <w:sz w:val="22"/>
                <w:szCs w:val="22"/>
              </w:rPr>
              <w:t>28.5</w:t>
            </w:r>
            <w:r w:rsidRPr="003E42BD">
              <w:rPr>
                <w:color w:val="auto"/>
                <w:sz w:val="22"/>
                <w:szCs w:val="22"/>
              </w:rPr>
              <w:t>% in th</w:t>
            </w:r>
            <w:r w:rsidR="00685B32">
              <w:rPr>
                <w:color w:val="auto"/>
                <w:sz w:val="22"/>
                <w:szCs w:val="22"/>
              </w:rPr>
              <w:t>e most deprived area against 5.6</w:t>
            </w:r>
            <w:r w:rsidRPr="003E42BD">
              <w:rPr>
                <w:color w:val="auto"/>
                <w:sz w:val="22"/>
                <w:szCs w:val="22"/>
              </w:rPr>
              <w:t>% in the least deprived</w:t>
            </w:r>
          </w:p>
          <w:p w:rsidR="00763BD7" w:rsidRPr="003E42BD" w:rsidRDefault="007344B1" w:rsidP="00B45DB9">
            <w:pPr>
              <w:pStyle w:val="Default"/>
              <w:numPr>
                <w:ilvl w:val="0"/>
                <w:numId w:val="32"/>
              </w:numPr>
              <w:rPr>
                <w:b/>
                <w:color w:val="auto"/>
                <w:sz w:val="22"/>
                <w:szCs w:val="22"/>
              </w:rPr>
            </w:pPr>
            <w:r>
              <w:rPr>
                <w:b/>
                <w:color w:val="auto"/>
                <w:sz w:val="22"/>
                <w:szCs w:val="22"/>
              </w:rPr>
              <w:t>Alcohol and d</w:t>
            </w:r>
            <w:r w:rsidR="00763BD7" w:rsidRPr="003E42BD">
              <w:rPr>
                <w:b/>
                <w:color w:val="auto"/>
                <w:sz w:val="22"/>
                <w:szCs w:val="22"/>
              </w:rPr>
              <w:t xml:space="preserve">rugs </w:t>
            </w:r>
            <w:r w:rsidR="00763BD7" w:rsidRPr="003E42BD">
              <w:rPr>
                <w:color w:val="auto"/>
                <w:sz w:val="22"/>
                <w:szCs w:val="22"/>
              </w:rPr>
              <w:t>– in excess of 1,500 referrals are managed an</w:t>
            </w:r>
            <w:r>
              <w:rPr>
                <w:color w:val="auto"/>
                <w:sz w:val="22"/>
                <w:szCs w:val="22"/>
              </w:rPr>
              <w:t>nually through the Lanarkshire Alcohol and D</w:t>
            </w:r>
            <w:r w:rsidR="00763BD7" w:rsidRPr="003E42BD">
              <w:rPr>
                <w:color w:val="auto"/>
                <w:sz w:val="22"/>
                <w:szCs w:val="22"/>
              </w:rPr>
              <w:t xml:space="preserve">rugs </w:t>
            </w:r>
            <w:r>
              <w:rPr>
                <w:color w:val="auto"/>
                <w:sz w:val="22"/>
                <w:szCs w:val="22"/>
              </w:rPr>
              <w:t>S</w:t>
            </w:r>
            <w:r w:rsidR="00763BD7" w:rsidRPr="003E42BD">
              <w:rPr>
                <w:color w:val="auto"/>
                <w:sz w:val="22"/>
                <w:szCs w:val="22"/>
              </w:rPr>
              <w:t xml:space="preserve">ervice for South Lanarkshire, with over 400 individuals being directly supported at any one time </w:t>
            </w:r>
          </w:p>
          <w:p w:rsidR="00763BD7" w:rsidRPr="003E42BD" w:rsidRDefault="00763BD7" w:rsidP="00B45DB9">
            <w:pPr>
              <w:pStyle w:val="Default"/>
              <w:ind w:firstLine="0"/>
              <w:rPr>
                <w:color w:val="auto"/>
                <w:sz w:val="16"/>
                <w:szCs w:val="16"/>
              </w:rPr>
            </w:pPr>
          </w:p>
          <w:p w:rsidR="00763BD7" w:rsidRPr="003E42BD" w:rsidRDefault="00763BD7" w:rsidP="00B45DB9">
            <w:pPr>
              <w:pStyle w:val="Default"/>
              <w:ind w:firstLine="0"/>
              <w:rPr>
                <w:color w:val="auto"/>
                <w:sz w:val="16"/>
                <w:szCs w:val="16"/>
              </w:rPr>
            </w:pPr>
            <w:r w:rsidRPr="003E42BD">
              <w:rPr>
                <w:b/>
                <w:color w:val="auto"/>
                <w:sz w:val="22"/>
                <w:szCs w:val="22"/>
              </w:rPr>
              <w:t>Obesity</w:t>
            </w:r>
          </w:p>
          <w:p w:rsidR="00763BD7" w:rsidRPr="003E42BD" w:rsidRDefault="00763BD7" w:rsidP="00B45DB9">
            <w:pPr>
              <w:pStyle w:val="Default"/>
              <w:ind w:firstLine="0"/>
              <w:rPr>
                <w:color w:val="auto"/>
                <w:sz w:val="22"/>
                <w:szCs w:val="22"/>
              </w:rPr>
            </w:pPr>
            <w:r w:rsidRPr="003E42BD">
              <w:rPr>
                <w:color w:val="auto"/>
                <w:sz w:val="22"/>
                <w:szCs w:val="22"/>
              </w:rPr>
              <w:t>Obesity in South Lanarkshire is a significant issue, with over 65% of the population being overweight or obese.  Projections tell us that 40% of the adult population will be obese by 2035.  Obesity is associated with the development of a range of illnesses, including diabetes, coronary heart disease and cancer</w:t>
            </w:r>
            <w:r w:rsidR="005F718E">
              <w:rPr>
                <w:color w:val="auto"/>
                <w:sz w:val="22"/>
                <w:szCs w:val="22"/>
              </w:rPr>
              <w:t>.</w:t>
            </w:r>
          </w:p>
          <w:p w:rsidR="00763BD7" w:rsidRPr="003E42BD" w:rsidRDefault="00763BD7" w:rsidP="00B45DB9">
            <w:pPr>
              <w:pStyle w:val="Default"/>
              <w:ind w:firstLine="0"/>
              <w:rPr>
                <w:color w:val="auto"/>
                <w:sz w:val="16"/>
                <w:szCs w:val="16"/>
              </w:rPr>
            </w:pPr>
          </w:p>
          <w:p w:rsidR="00763BD7" w:rsidRPr="003E42BD" w:rsidRDefault="00763BD7" w:rsidP="00B45DB9">
            <w:pPr>
              <w:pStyle w:val="Default"/>
              <w:ind w:firstLine="0"/>
              <w:rPr>
                <w:color w:val="auto"/>
                <w:sz w:val="16"/>
                <w:szCs w:val="16"/>
              </w:rPr>
            </w:pPr>
            <w:r w:rsidRPr="003E42BD">
              <w:rPr>
                <w:b/>
                <w:color w:val="auto"/>
                <w:sz w:val="22"/>
                <w:szCs w:val="22"/>
              </w:rPr>
              <w:t>High Resource Users of Services</w:t>
            </w:r>
          </w:p>
          <w:p w:rsidR="00763BD7" w:rsidRPr="00763BD7" w:rsidRDefault="00763BD7" w:rsidP="00B45DB9">
            <w:pPr>
              <w:pStyle w:val="Default"/>
              <w:ind w:firstLine="0"/>
              <w:rPr>
                <w:color w:val="auto"/>
                <w:sz w:val="22"/>
                <w:szCs w:val="22"/>
              </w:rPr>
            </w:pPr>
            <w:r w:rsidRPr="00763BD7">
              <w:rPr>
                <w:color w:val="auto"/>
                <w:sz w:val="22"/>
                <w:szCs w:val="22"/>
              </w:rPr>
              <w:t>Health costs associated with high resource users of services have been analysed by the Partnership and from this we know that 7,858 individual</w:t>
            </w:r>
            <w:r w:rsidR="005F718E">
              <w:rPr>
                <w:color w:val="auto"/>
                <w:sz w:val="22"/>
                <w:szCs w:val="22"/>
              </w:rPr>
              <w:t>s</w:t>
            </w:r>
            <w:r w:rsidRPr="00763BD7">
              <w:rPr>
                <w:color w:val="auto"/>
                <w:sz w:val="22"/>
                <w:szCs w:val="22"/>
              </w:rPr>
              <w:t xml:space="preserve"> consumed £157m or 50% of the total health expenditure in South Lanarkshire.  This data has been further analysed to provide a profile of the types of services being accessed, with a further more detailed analysis scheduled to be undertaken on the top 25% of the 7,858 individuals. </w:t>
            </w:r>
          </w:p>
          <w:p w:rsidR="00763BD7" w:rsidRPr="00763BD7" w:rsidRDefault="00763BD7" w:rsidP="00B45DB9">
            <w:pPr>
              <w:pStyle w:val="ListBullet"/>
              <w:numPr>
                <w:ilvl w:val="0"/>
                <w:numId w:val="0"/>
              </w:numPr>
              <w:tabs>
                <w:tab w:val="left" w:pos="720"/>
              </w:tabs>
              <w:rPr>
                <w:rFonts w:ascii="Arial" w:hAnsi="Arial" w:cs="Arial"/>
                <w:sz w:val="16"/>
                <w:szCs w:val="16"/>
              </w:rPr>
            </w:pPr>
          </w:p>
          <w:p w:rsidR="00763BD7" w:rsidRPr="00763BD7" w:rsidRDefault="00763BD7" w:rsidP="00B45DB9">
            <w:pPr>
              <w:pStyle w:val="ListBullet"/>
              <w:numPr>
                <w:ilvl w:val="0"/>
                <w:numId w:val="0"/>
              </w:numPr>
              <w:tabs>
                <w:tab w:val="left" w:pos="720"/>
              </w:tabs>
              <w:rPr>
                <w:rFonts w:ascii="Arial" w:hAnsi="Arial" w:cs="Arial"/>
                <w:sz w:val="22"/>
                <w:szCs w:val="22"/>
              </w:rPr>
            </w:pPr>
            <w:r w:rsidRPr="00763BD7">
              <w:rPr>
                <w:rFonts w:ascii="Arial" w:hAnsi="Arial" w:cs="Arial"/>
                <w:b/>
                <w:sz w:val="22"/>
                <w:szCs w:val="22"/>
              </w:rPr>
              <w:t xml:space="preserve">Drivers:  </w:t>
            </w:r>
            <w:r w:rsidRPr="00763BD7">
              <w:rPr>
                <w:rFonts w:ascii="Arial" w:hAnsi="Arial" w:cs="Arial"/>
                <w:sz w:val="22"/>
                <w:szCs w:val="22"/>
              </w:rPr>
              <w:t>It is well known that health inequalities have a clear link to life chances and overall health and wellbeing.  The above data highlights that overall potential demand for health and social care services will continue to increase unless the overall health of the population improves.  In addition to demand being a driver, there are a number of national strategies which require to be taken account of and all link into this agenda as follows:</w:t>
            </w:r>
          </w:p>
          <w:p w:rsidR="00763BD7" w:rsidRPr="00763BD7" w:rsidRDefault="00763BD7" w:rsidP="00B45DB9">
            <w:pPr>
              <w:pStyle w:val="ListBullet"/>
              <w:numPr>
                <w:ilvl w:val="0"/>
                <w:numId w:val="31"/>
              </w:numPr>
              <w:tabs>
                <w:tab w:val="left" w:pos="720"/>
              </w:tabs>
              <w:rPr>
                <w:rFonts w:ascii="Arial" w:hAnsi="Arial" w:cs="Arial"/>
                <w:sz w:val="22"/>
                <w:szCs w:val="22"/>
              </w:rPr>
            </w:pPr>
            <w:r w:rsidRPr="00763BD7">
              <w:rPr>
                <w:rFonts w:ascii="Arial" w:hAnsi="Arial" w:cs="Arial"/>
                <w:sz w:val="22"/>
                <w:szCs w:val="22"/>
              </w:rPr>
              <w:t xml:space="preserve">The Public Bodies (Joint Working) (Scotland) Act 2014 </w:t>
            </w:r>
          </w:p>
          <w:p w:rsidR="00763BD7" w:rsidRPr="00763BD7" w:rsidRDefault="00763BD7" w:rsidP="00B45DB9">
            <w:pPr>
              <w:pStyle w:val="ListBullet"/>
              <w:numPr>
                <w:ilvl w:val="0"/>
                <w:numId w:val="31"/>
              </w:numPr>
              <w:tabs>
                <w:tab w:val="left" w:pos="720"/>
              </w:tabs>
              <w:rPr>
                <w:rFonts w:ascii="Arial" w:hAnsi="Arial" w:cs="Arial"/>
                <w:sz w:val="22"/>
                <w:szCs w:val="22"/>
              </w:rPr>
            </w:pPr>
            <w:r w:rsidRPr="00763BD7">
              <w:rPr>
                <w:rFonts w:ascii="Arial" w:hAnsi="Arial" w:cs="Arial"/>
                <w:sz w:val="22"/>
                <w:szCs w:val="22"/>
              </w:rPr>
              <w:t>Health Inequalities in Scotland – Audit Scotland 2012</w:t>
            </w:r>
          </w:p>
          <w:p w:rsidR="00763BD7" w:rsidRPr="00763BD7" w:rsidRDefault="00763BD7" w:rsidP="00B45DB9">
            <w:pPr>
              <w:pStyle w:val="ListBullet"/>
              <w:numPr>
                <w:ilvl w:val="0"/>
                <w:numId w:val="31"/>
              </w:numPr>
              <w:tabs>
                <w:tab w:val="left" w:pos="720"/>
              </w:tabs>
              <w:rPr>
                <w:rFonts w:ascii="Arial" w:hAnsi="Arial" w:cs="Arial"/>
                <w:sz w:val="22"/>
                <w:szCs w:val="22"/>
              </w:rPr>
            </w:pPr>
            <w:r w:rsidRPr="00763BD7">
              <w:rPr>
                <w:rFonts w:ascii="Arial" w:hAnsi="Arial" w:cs="Arial"/>
                <w:sz w:val="22"/>
                <w:szCs w:val="22"/>
              </w:rPr>
              <w:t>A Route Map to the 2020 Vision for Health and Social Care 2011</w:t>
            </w:r>
          </w:p>
          <w:p w:rsidR="00EF7678" w:rsidRPr="00D35FB3" w:rsidRDefault="00763BD7" w:rsidP="00D35FB3">
            <w:pPr>
              <w:pStyle w:val="ListBullet"/>
              <w:numPr>
                <w:ilvl w:val="0"/>
                <w:numId w:val="31"/>
              </w:numPr>
              <w:tabs>
                <w:tab w:val="left" w:pos="720"/>
              </w:tabs>
              <w:rPr>
                <w:rFonts w:ascii="Arial" w:hAnsi="Arial" w:cs="Arial"/>
                <w:b/>
                <w:sz w:val="22"/>
                <w:szCs w:val="22"/>
              </w:rPr>
            </w:pPr>
            <w:r w:rsidRPr="00763BD7">
              <w:rPr>
                <w:rFonts w:ascii="Arial" w:hAnsi="Arial" w:cs="Arial"/>
                <w:sz w:val="22"/>
                <w:szCs w:val="22"/>
              </w:rPr>
              <w:t>Mental Health Strategy for Scotland 2012-15</w:t>
            </w:r>
          </w:p>
          <w:p w:rsidR="00D35FB3" w:rsidRPr="00763BD7" w:rsidRDefault="00D35FB3" w:rsidP="00D35FB3">
            <w:pPr>
              <w:pStyle w:val="ListBullet"/>
              <w:numPr>
                <w:ilvl w:val="0"/>
                <w:numId w:val="0"/>
              </w:numPr>
              <w:tabs>
                <w:tab w:val="left" w:pos="720"/>
              </w:tabs>
              <w:ind w:left="360"/>
              <w:rPr>
                <w:rFonts w:ascii="Arial" w:hAnsi="Arial" w:cs="Arial"/>
                <w:b/>
                <w:sz w:val="22"/>
                <w:szCs w:val="22"/>
              </w:rPr>
            </w:pPr>
          </w:p>
        </w:tc>
      </w:tr>
    </w:tbl>
    <w:p w:rsidR="007F07F4" w:rsidRDefault="007F07F4">
      <w:r>
        <w:br w:type="page"/>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4"/>
        <w:gridCol w:w="1763"/>
        <w:gridCol w:w="1843"/>
        <w:gridCol w:w="2079"/>
        <w:gridCol w:w="1894"/>
        <w:gridCol w:w="1871"/>
      </w:tblGrid>
      <w:tr w:rsidR="00763BD7" w:rsidRPr="00763BD7" w:rsidTr="0054135A">
        <w:trPr>
          <w:trHeight w:val="344"/>
        </w:trPr>
        <w:tc>
          <w:tcPr>
            <w:tcW w:w="14174"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tcPr>
          <w:p w:rsidR="00763BD7" w:rsidRPr="00763BD7" w:rsidRDefault="00763BD7" w:rsidP="00B45DB9">
            <w:pPr>
              <w:pStyle w:val="ListBullet"/>
              <w:numPr>
                <w:ilvl w:val="0"/>
                <w:numId w:val="0"/>
              </w:numPr>
              <w:tabs>
                <w:tab w:val="left" w:pos="720"/>
              </w:tabs>
              <w:rPr>
                <w:rFonts w:ascii="Arial" w:hAnsi="Arial" w:cs="Arial"/>
                <w:b/>
                <w:sz w:val="22"/>
                <w:szCs w:val="22"/>
              </w:rPr>
            </w:pPr>
            <w:r w:rsidRPr="00763BD7">
              <w:rPr>
                <w:rFonts w:ascii="Arial" w:hAnsi="Arial" w:cs="Arial"/>
                <w:b/>
                <w:sz w:val="22"/>
                <w:szCs w:val="22"/>
              </w:rPr>
              <w:t>We will measure progress towards this priority outcome with reference to the following indicators and targets</w:t>
            </w:r>
          </w:p>
        </w:tc>
      </w:tr>
      <w:tr w:rsidR="00736EC7" w:rsidRPr="00763BD7" w:rsidTr="0054135A">
        <w:tc>
          <w:tcPr>
            <w:tcW w:w="472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36EC7" w:rsidRPr="00763BD7" w:rsidRDefault="00736EC7" w:rsidP="00B45DB9">
            <w:pPr>
              <w:pStyle w:val="ListBullet"/>
              <w:numPr>
                <w:ilvl w:val="0"/>
                <w:numId w:val="0"/>
              </w:numPr>
              <w:tabs>
                <w:tab w:val="left" w:pos="720"/>
              </w:tabs>
              <w:spacing w:line="276" w:lineRule="auto"/>
              <w:jc w:val="center"/>
              <w:rPr>
                <w:rFonts w:ascii="Arial" w:hAnsi="Arial" w:cs="Arial"/>
                <w:b/>
                <w:sz w:val="22"/>
                <w:szCs w:val="22"/>
              </w:rPr>
            </w:pPr>
            <w:r w:rsidRPr="00763BD7">
              <w:rPr>
                <w:rFonts w:ascii="Arial" w:hAnsi="Arial" w:cs="Arial"/>
                <w:b/>
                <w:sz w:val="22"/>
                <w:szCs w:val="22"/>
              </w:rPr>
              <w:t>Indicator(s) and Source</w:t>
            </w:r>
          </w:p>
        </w:tc>
        <w:tc>
          <w:tcPr>
            <w:tcW w:w="176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36EC7" w:rsidRPr="00763BD7" w:rsidRDefault="00736EC7" w:rsidP="00B45DB9">
            <w:pPr>
              <w:pStyle w:val="ListBullet"/>
              <w:numPr>
                <w:ilvl w:val="0"/>
                <w:numId w:val="0"/>
              </w:numPr>
              <w:tabs>
                <w:tab w:val="left" w:pos="720"/>
              </w:tabs>
              <w:spacing w:line="276" w:lineRule="auto"/>
              <w:jc w:val="center"/>
              <w:rPr>
                <w:rFonts w:ascii="Arial" w:hAnsi="Arial" w:cs="Arial"/>
                <w:b/>
                <w:sz w:val="22"/>
                <w:szCs w:val="22"/>
              </w:rPr>
            </w:pPr>
            <w:r w:rsidRPr="00763BD7">
              <w:rPr>
                <w:rFonts w:ascii="Arial" w:hAnsi="Arial" w:cs="Arial"/>
                <w:b/>
                <w:sz w:val="22"/>
                <w:szCs w:val="22"/>
              </w:rPr>
              <w:t>Baseline</w:t>
            </w:r>
          </w:p>
        </w:tc>
        <w:tc>
          <w:tcPr>
            <w:tcW w:w="1843" w:type="dxa"/>
            <w:tcBorders>
              <w:top w:val="single" w:sz="4" w:space="0" w:color="auto"/>
              <w:left w:val="single" w:sz="4" w:space="0" w:color="auto"/>
              <w:right w:val="single" w:sz="4" w:space="0" w:color="auto"/>
            </w:tcBorders>
            <w:shd w:val="clear" w:color="auto" w:fill="D6E3BC" w:themeFill="accent3" w:themeFillTint="66"/>
          </w:tcPr>
          <w:p w:rsidR="00736EC7" w:rsidRPr="00763BD7" w:rsidRDefault="00736EC7" w:rsidP="00B45DB9">
            <w:pPr>
              <w:pStyle w:val="ListBullet"/>
              <w:numPr>
                <w:ilvl w:val="0"/>
                <w:numId w:val="0"/>
              </w:numPr>
              <w:tabs>
                <w:tab w:val="left" w:pos="720"/>
              </w:tabs>
              <w:spacing w:line="276" w:lineRule="auto"/>
              <w:jc w:val="center"/>
              <w:rPr>
                <w:rFonts w:ascii="Arial" w:hAnsi="Arial" w:cs="Arial"/>
                <w:b/>
                <w:sz w:val="22"/>
                <w:szCs w:val="22"/>
              </w:rPr>
            </w:pPr>
            <w:r w:rsidRPr="00763BD7">
              <w:rPr>
                <w:rFonts w:ascii="Arial" w:hAnsi="Arial" w:cs="Arial"/>
                <w:b/>
                <w:sz w:val="22"/>
                <w:szCs w:val="22"/>
              </w:rPr>
              <w:t>Latest figures reported</w:t>
            </w:r>
          </w:p>
        </w:tc>
        <w:tc>
          <w:tcPr>
            <w:tcW w:w="2079" w:type="dxa"/>
            <w:tcBorders>
              <w:top w:val="single" w:sz="4" w:space="0" w:color="auto"/>
              <w:left w:val="single" w:sz="4" w:space="0" w:color="auto"/>
              <w:right w:val="single" w:sz="4" w:space="0" w:color="auto"/>
            </w:tcBorders>
            <w:shd w:val="clear" w:color="auto" w:fill="D6E3BC" w:themeFill="accent3" w:themeFillTint="66"/>
          </w:tcPr>
          <w:p w:rsidR="00736EC7" w:rsidRPr="00763BD7" w:rsidRDefault="00736EC7" w:rsidP="00B45DB9">
            <w:pPr>
              <w:pStyle w:val="ListBullet"/>
              <w:numPr>
                <w:ilvl w:val="0"/>
                <w:numId w:val="0"/>
              </w:numPr>
              <w:tabs>
                <w:tab w:val="left" w:pos="720"/>
              </w:tabs>
              <w:spacing w:line="276" w:lineRule="auto"/>
              <w:jc w:val="center"/>
              <w:rPr>
                <w:rFonts w:ascii="Arial" w:hAnsi="Arial" w:cs="Arial"/>
                <w:b/>
                <w:sz w:val="22"/>
                <w:szCs w:val="22"/>
              </w:rPr>
            </w:pPr>
            <w:r w:rsidRPr="00763BD7">
              <w:rPr>
                <w:rFonts w:ascii="Arial" w:hAnsi="Arial" w:cs="Arial"/>
                <w:b/>
                <w:sz w:val="22"/>
                <w:szCs w:val="22"/>
              </w:rPr>
              <w:t>Short Term Target (1 year)</w:t>
            </w:r>
          </w:p>
        </w:tc>
        <w:tc>
          <w:tcPr>
            <w:tcW w:w="1894" w:type="dxa"/>
            <w:tcBorders>
              <w:top w:val="single" w:sz="4" w:space="0" w:color="auto"/>
              <w:left w:val="single" w:sz="4" w:space="0" w:color="auto"/>
              <w:right w:val="single" w:sz="4" w:space="0" w:color="auto"/>
            </w:tcBorders>
            <w:shd w:val="clear" w:color="auto" w:fill="D6E3BC" w:themeFill="accent3" w:themeFillTint="66"/>
          </w:tcPr>
          <w:p w:rsidR="00736EC7" w:rsidRPr="00763BD7" w:rsidRDefault="00736EC7" w:rsidP="00B45DB9">
            <w:pPr>
              <w:pStyle w:val="ListBullet"/>
              <w:numPr>
                <w:ilvl w:val="0"/>
                <w:numId w:val="0"/>
              </w:numPr>
              <w:tabs>
                <w:tab w:val="left" w:pos="720"/>
              </w:tabs>
              <w:spacing w:line="276" w:lineRule="auto"/>
              <w:jc w:val="center"/>
              <w:rPr>
                <w:rFonts w:ascii="Arial" w:hAnsi="Arial" w:cs="Arial"/>
                <w:b/>
                <w:sz w:val="22"/>
                <w:szCs w:val="22"/>
              </w:rPr>
            </w:pPr>
            <w:r w:rsidRPr="00763BD7">
              <w:rPr>
                <w:rFonts w:ascii="Arial" w:hAnsi="Arial" w:cs="Arial"/>
                <w:b/>
                <w:sz w:val="22"/>
                <w:szCs w:val="22"/>
              </w:rPr>
              <w:t>Medium Term Target (3yr)</w:t>
            </w:r>
          </w:p>
        </w:tc>
        <w:tc>
          <w:tcPr>
            <w:tcW w:w="18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36EC7" w:rsidRPr="00763BD7" w:rsidRDefault="00736EC7" w:rsidP="00B45DB9">
            <w:pPr>
              <w:pStyle w:val="ListBullet"/>
              <w:numPr>
                <w:ilvl w:val="0"/>
                <w:numId w:val="0"/>
              </w:numPr>
              <w:tabs>
                <w:tab w:val="left" w:pos="720"/>
              </w:tabs>
              <w:spacing w:line="276" w:lineRule="auto"/>
              <w:jc w:val="center"/>
              <w:rPr>
                <w:rFonts w:ascii="Arial" w:hAnsi="Arial" w:cs="Arial"/>
                <w:b/>
                <w:sz w:val="22"/>
                <w:szCs w:val="22"/>
              </w:rPr>
            </w:pPr>
            <w:r w:rsidRPr="00763BD7">
              <w:rPr>
                <w:rFonts w:ascii="Arial" w:hAnsi="Arial" w:cs="Arial"/>
                <w:b/>
                <w:sz w:val="22"/>
                <w:szCs w:val="22"/>
              </w:rPr>
              <w:t>Long Term Target</w:t>
            </w:r>
          </w:p>
          <w:p w:rsidR="00736EC7" w:rsidRPr="00763BD7" w:rsidRDefault="00736EC7" w:rsidP="00B45DB9">
            <w:pPr>
              <w:pStyle w:val="ListBullet"/>
              <w:numPr>
                <w:ilvl w:val="0"/>
                <w:numId w:val="0"/>
              </w:numPr>
              <w:tabs>
                <w:tab w:val="left" w:pos="720"/>
              </w:tabs>
              <w:spacing w:line="276" w:lineRule="auto"/>
              <w:jc w:val="center"/>
              <w:rPr>
                <w:rFonts w:ascii="Arial" w:hAnsi="Arial" w:cs="Arial"/>
                <w:b/>
                <w:sz w:val="22"/>
                <w:szCs w:val="22"/>
              </w:rPr>
            </w:pPr>
            <w:r w:rsidRPr="00763BD7">
              <w:rPr>
                <w:rFonts w:ascii="Arial" w:hAnsi="Arial" w:cs="Arial"/>
                <w:b/>
                <w:sz w:val="22"/>
                <w:szCs w:val="22"/>
              </w:rPr>
              <w:t>(10yr)</w:t>
            </w:r>
          </w:p>
        </w:tc>
      </w:tr>
      <w:tr w:rsidR="00736EC7" w:rsidRPr="00763BD7" w:rsidTr="0054135A">
        <w:trPr>
          <w:trHeight w:val="525"/>
        </w:trPr>
        <w:tc>
          <w:tcPr>
            <w:tcW w:w="4724" w:type="dxa"/>
            <w:tcBorders>
              <w:top w:val="single" w:sz="4" w:space="0" w:color="auto"/>
              <w:left w:val="single" w:sz="4" w:space="0" w:color="auto"/>
              <w:bottom w:val="single" w:sz="4" w:space="0" w:color="auto"/>
              <w:right w:val="single" w:sz="4" w:space="0" w:color="auto"/>
            </w:tcBorders>
            <w:shd w:val="clear" w:color="auto" w:fill="FFFFFF" w:themeFill="background1"/>
          </w:tcPr>
          <w:p w:rsidR="00736EC7" w:rsidRDefault="00736EC7" w:rsidP="00B45DB9">
            <w:pPr>
              <w:pStyle w:val="ListBullet"/>
              <w:numPr>
                <w:ilvl w:val="0"/>
                <w:numId w:val="0"/>
              </w:numPr>
              <w:tabs>
                <w:tab w:val="left" w:pos="720"/>
              </w:tabs>
              <w:rPr>
                <w:rFonts w:ascii="Arial" w:hAnsi="Arial" w:cs="Arial"/>
                <w:sz w:val="22"/>
                <w:szCs w:val="22"/>
              </w:rPr>
            </w:pPr>
            <w:r w:rsidRPr="00B87A04">
              <w:rPr>
                <w:rFonts w:ascii="Arial" w:hAnsi="Arial" w:cs="Arial"/>
                <w:b/>
                <w:sz w:val="22"/>
                <w:szCs w:val="22"/>
              </w:rPr>
              <w:t>Increase</w:t>
            </w:r>
            <w:r w:rsidR="006336E8">
              <w:rPr>
                <w:rFonts w:ascii="Arial" w:hAnsi="Arial" w:cs="Arial"/>
                <w:sz w:val="22"/>
                <w:szCs w:val="22"/>
              </w:rPr>
              <w:t xml:space="preserve"> the</w:t>
            </w:r>
            <w:r>
              <w:rPr>
                <w:rFonts w:ascii="Arial" w:hAnsi="Arial" w:cs="Arial"/>
                <w:sz w:val="22"/>
                <w:szCs w:val="22"/>
              </w:rPr>
              <w:t xml:space="preserve"> l</w:t>
            </w:r>
            <w:r w:rsidRPr="00763BD7">
              <w:rPr>
                <w:rFonts w:ascii="Arial" w:hAnsi="Arial" w:cs="Arial"/>
                <w:sz w:val="22"/>
                <w:szCs w:val="22"/>
              </w:rPr>
              <w:t xml:space="preserve">ife expectancy levels in </w:t>
            </w:r>
            <w:r w:rsidR="006B31E0">
              <w:rPr>
                <w:rFonts w:ascii="Arial" w:hAnsi="Arial" w:cs="Arial"/>
                <w:sz w:val="22"/>
                <w:szCs w:val="22"/>
              </w:rPr>
              <w:t xml:space="preserve">the </w:t>
            </w:r>
            <w:r w:rsidRPr="00763BD7">
              <w:rPr>
                <w:rFonts w:ascii="Arial" w:hAnsi="Arial" w:cs="Arial"/>
                <w:sz w:val="22"/>
                <w:szCs w:val="22"/>
              </w:rPr>
              <w:t xml:space="preserve">15% most deprived areas of South Lanarkshire </w:t>
            </w:r>
            <w:r w:rsidR="006336E8">
              <w:rPr>
                <w:rFonts w:ascii="Arial" w:hAnsi="Arial" w:cs="Arial"/>
                <w:sz w:val="22"/>
                <w:szCs w:val="22"/>
              </w:rPr>
              <w:t xml:space="preserve">to be </w:t>
            </w:r>
            <w:r w:rsidRPr="00763BD7">
              <w:rPr>
                <w:rFonts w:ascii="Arial" w:hAnsi="Arial" w:cs="Arial"/>
                <w:sz w:val="22"/>
                <w:szCs w:val="22"/>
              </w:rPr>
              <w:t xml:space="preserve">comparable with South Lanarkshire </w:t>
            </w:r>
            <w:r w:rsidR="006336E8">
              <w:rPr>
                <w:rFonts w:ascii="Arial" w:hAnsi="Arial" w:cs="Arial"/>
                <w:sz w:val="22"/>
                <w:szCs w:val="22"/>
              </w:rPr>
              <w:t xml:space="preserve">Average </w:t>
            </w:r>
            <w:r w:rsidRPr="00763BD7">
              <w:rPr>
                <w:rFonts w:ascii="Arial" w:hAnsi="Arial" w:cs="Arial"/>
                <w:sz w:val="22"/>
                <w:szCs w:val="22"/>
              </w:rPr>
              <w:t>(Female)</w:t>
            </w:r>
          </w:p>
          <w:p w:rsidR="00736EC7" w:rsidRDefault="00736EC7" w:rsidP="00B45DB9">
            <w:pPr>
              <w:pStyle w:val="ListBullet"/>
              <w:numPr>
                <w:ilvl w:val="0"/>
                <w:numId w:val="0"/>
              </w:numPr>
              <w:tabs>
                <w:tab w:val="left" w:pos="720"/>
              </w:tabs>
              <w:rPr>
                <w:rFonts w:ascii="Arial" w:hAnsi="Arial" w:cs="Arial"/>
                <w:sz w:val="22"/>
                <w:szCs w:val="22"/>
              </w:rPr>
            </w:pPr>
          </w:p>
          <w:p w:rsidR="00736EC7" w:rsidRPr="002A5331" w:rsidRDefault="00736EC7" w:rsidP="00161162">
            <w:pPr>
              <w:pStyle w:val="ListBullet"/>
              <w:numPr>
                <w:ilvl w:val="0"/>
                <w:numId w:val="0"/>
              </w:numPr>
              <w:tabs>
                <w:tab w:val="left" w:pos="720"/>
              </w:tabs>
              <w:rPr>
                <w:rFonts w:ascii="Arial" w:hAnsi="Arial" w:cs="Arial"/>
                <w:b/>
                <w:sz w:val="22"/>
                <w:szCs w:val="22"/>
              </w:rPr>
            </w:pPr>
            <w:r w:rsidRPr="002A5331">
              <w:rPr>
                <w:rFonts w:ascii="Arial" w:hAnsi="Arial" w:cs="Arial"/>
                <w:b/>
                <w:sz w:val="22"/>
                <w:szCs w:val="22"/>
              </w:rPr>
              <w:t>Source:</w:t>
            </w:r>
            <w:r>
              <w:rPr>
                <w:rFonts w:ascii="Arial" w:hAnsi="Arial" w:cs="Arial"/>
                <w:b/>
                <w:sz w:val="22"/>
                <w:szCs w:val="22"/>
              </w:rPr>
              <w:t xml:space="preserve"> </w:t>
            </w:r>
            <w:r w:rsidRPr="002A5331">
              <w:rPr>
                <w:rFonts w:ascii="Arial" w:hAnsi="Arial" w:cs="Arial"/>
                <w:b/>
                <w:sz w:val="22"/>
                <w:szCs w:val="22"/>
              </w:rPr>
              <w:t>nrscotland</w:t>
            </w:r>
          </w:p>
        </w:tc>
        <w:tc>
          <w:tcPr>
            <w:tcW w:w="1763" w:type="dxa"/>
            <w:tcBorders>
              <w:top w:val="single" w:sz="4" w:space="0" w:color="auto"/>
              <w:left w:val="single" w:sz="4" w:space="0" w:color="auto"/>
              <w:bottom w:val="single" w:sz="4" w:space="0" w:color="auto"/>
              <w:right w:val="single" w:sz="4" w:space="0" w:color="auto"/>
            </w:tcBorders>
          </w:tcPr>
          <w:p w:rsidR="00CA23A9" w:rsidRDefault="0010762E" w:rsidP="00B45DB9">
            <w:pPr>
              <w:pStyle w:val="ListBullet"/>
              <w:numPr>
                <w:ilvl w:val="0"/>
                <w:numId w:val="0"/>
              </w:numPr>
              <w:tabs>
                <w:tab w:val="left" w:pos="720"/>
              </w:tabs>
              <w:jc w:val="center"/>
              <w:rPr>
                <w:rFonts w:ascii="Arial" w:hAnsi="Arial" w:cs="Arial"/>
                <w:sz w:val="20"/>
                <w:szCs w:val="20"/>
              </w:rPr>
            </w:pPr>
            <w:r w:rsidRPr="00B87A04">
              <w:rPr>
                <w:rFonts w:ascii="Arial" w:hAnsi="Arial" w:cs="Arial"/>
                <w:sz w:val="22"/>
                <w:szCs w:val="22"/>
              </w:rPr>
              <w:t xml:space="preserve"> </w:t>
            </w:r>
            <w:r w:rsidR="00736EC7" w:rsidRPr="00B87A04">
              <w:rPr>
                <w:rFonts w:ascii="Arial" w:hAnsi="Arial" w:cs="Arial"/>
                <w:sz w:val="22"/>
                <w:szCs w:val="22"/>
              </w:rPr>
              <w:t>(2015)</w:t>
            </w:r>
            <w:r w:rsidR="006336E8">
              <w:rPr>
                <w:rFonts w:ascii="Arial" w:hAnsi="Arial" w:cs="Arial"/>
                <w:sz w:val="20"/>
                <w:szCs w:val="20"/>
              </w:rPr>
              <w:t xml:space="preserve"> </w:t>
            </w:r>
          </w:p>
          <w:p w:rsidR="0010762E" w:rsidRDefault="0010762E" w:rsidP="0010762E">
            <w:pPr>
              <w:pStyle w:val="ListBullet"/>
              <w:numPr>
                <w:ilvl w:val="0"/>
                <w:numId w:val="0"/>
              </w:numPr>
              <w:tabs>
                <w:tab w:val="left" w:pos="720"/>
              </w:tabs>
              <w:jc w:val="center"/>
              <w:rPr>
                <w:rFonts w:ascii="Arial" w:hAnsi="Arial" w:cs="Arial"/>
                <w:sz w:val="22"/>
                <w:szCs w:val="22"/>
              </w:rPr>
            </w:pPr>
            <w:r w:rsidRPr="00B87A04">
              <w:rPr>
                <w:rFonts w:ascii="Arial" w:hAnsi="Arial" w:cs="Arial"/>
                <w:sz w:val="22"/>
                <w:szCs w:val="22"/>
              </w:rPr>
              <w:t xml:space="preserve">81.2 </w:t>
            </w:r>
          </w:p>
          <w:p w:rsidR="00736EC7" w:rsidRPr="00763BD7" w:rsidRDefault="006336E8" w:rsidP="00B45DB9">
            <w:pPr>
              <w:pStyle w:val="ListBullet"/>
              <w:numPr>
                <w:ilvl w:val="0"/>
                <w:numId w:val="0"/>
              </w:numPr>
              <w:tabs>
                <w:tab w:val="left" w:pos="720"/>
              </w:tabs>
              <w:jc w:val="center"/>
              <w:rPr>
                <w:rFonts w:ascii="Arial" w:hAnsi="Arial" w:cs="Arial"/>
                <w:sz w:val="20"/>
                <w:szCs w:val="20"/>
              </w:rPr>
            </w:pPr>
            <w:r>
              <w:rPr>
                <w:rFonts w:ascii="Arial" w:hAnsi="Arial" w:cs="Arial"/>
                <w:sz w:val="22"/>
                <w:szCs w:val="22"/>
              </w:rPr>
              <w:t>South Lanarkshire Average</w:t>
            </w:r>
          </w:p>
        </w:tc>
        <w:tc>
          <w:tcPr>
            <w:tcW w:w="1843" w:type="dxa"/>
            <w:tcBorders>
              <w:left w:val="single" w:sz="4" w:space="0" w:color="auto"/>
              <w:right w:val="single" w:sz="4" w:space="0" w:color="auto"/>
            </w:tcBorders>
          </w:tcPr>
          <w:p w:rsidR="00736EC7" w:rsidRDefault="0010762E" w:rsidP="00B45DB9">
            <w:pPr>
              <w:pStyle w:val="ListBullet"/>
              <w:numPr>
                <w:ilvl w:val="0"/>
                <w:numId w:val="0"/>
              </w:numPr>
              <w:tabs>
                <w:tab w:val="left" w:pos="720"/>
              </w:tabs>
              <w:jc w:val="center"/>
              <w:rPr>
                <w:rFonts w:ascii="Arial" w:hAnsi="Arial" w:cs="Arial"/>
                <w:sz w:val="22"/>
                <w:szCs w:val="22"/>
              </w:rPr>
            </w:pPr>
            <w:r w:rsidRPr="003B388B">
              <w:rPr>
                <w:rFonts w:ascii="Arial" w:hAnsi="Arial" w:cs="Arial"/>
                <w:sz w:val="22"/>
                <w:szCs w:val="22"/>
              </w:rPr>
              <w:t xml:space="preserve"> </w:t>
            </w:r>
            <w:r w:rsidR="00736EC7" w:rsidRPr="003B388B">
              <w:rPr>
                <w:rFonts w:ascii="Arial" w:hAnsi="Arial" w:cs="Arial"/>
                <w:sz w:val="22"/>
                <w:szCs w:val="22"/>
              </w:rPr>
              <w:t>(201</w:t>
            </w:r>
            <w:r w:rsidR="00E36046">
              <w:rPr>
                <w:rFonts w:ascii="Arial" w:hAnsi="Arial" w:cs="Arial"/>
                <w:sz w:val="22"/>
                <w:szCs w:val="22"/>
              </w:rPr>
              <w:t>4/16</w:t>
            </w:r>
            <w:r w:rsidR="00736EC7" w:rsidRPr="003B388B">
              <w:rPr>
                <w:rFonts w:ascii="Arial" w:hAnsi="Arial" w:cs="Arial"/>
                <w:sz w:val="22"/>
                <w:szCs w:val="22"/>
              </w:rPr>
              <w:t>)</w:t>
            </w:r>
          </w:p>
          <w:p w:rsidR="0010762E" w:rsidRDefault="00E36046" w:rsidP="0010762E">
            <w:pPr>
              <w:pStyle w:val="ListBullet"/>
              <w:numPr>
                <w:ilvl w:val="0"/>
                <w:numId w:val="0"/>
              </w:numPr>
              <w:tabs>
                <w:tab w:val="left" w:pos="720"/>
              </w:tabs>
              <w:jc w:val="center"/>
              <w:rPr>
                <w:rFonts w:ascii="Arial" w:hAnsi="Arial" w:cs="Arial"/>
                <w:sz w:val="22"/>
                <w:szCs w:val="22"/>
              </w:rPr>
            </w:pPr>
            <w:r>
              <w:rPr>
                <w:rFonts w:ascii="Arial" w:hAnsi="Arial" w:cs="Arial"/>
                <w:sz w:val="22"/>
                <w:szCs w:val="22"/>
              </w:rPr>
              <w:t>77.2</w:t>
            </w:r>
          </w:p>
          <w:p w:rsidR="0010762E" w:rsidRPr="003B388B" w:rsidRDefault="0010762E" w:rsidP="00B45DB9">
            <w:pPr>
              <w:pStyle w:val="ListBullet"/>
              <w:numPr>
                <w:ilvl w:val="0"/>
                <w:numId w:val="0"/>
              </w:numPr>
              <w:tabs>
                <w:tab w:val="left" w:pos="720"/>
              </w:tabs>
              <w:jc w:val="center"/>
              <w:rPr>
                <w:rFonts w:ascii="Arial" w:hAnsi="Arial" w:cs="Arial"/>
                <w:sz w:val="22"/>
                <w:szCs w:val="22"/>
              </w:rPr>
            </w:pPr>
          </w:p>
        </w:tc>
        <w:tc>
          <w:tcPr>
            <w:tcW w:w="2079" w:type="dxa"/>
            <w:tcBorders>
              <w:left w:val="single" w:sz="4" w:space="0" w:color="auto"/>
              <w:right w:val="single" w:sz="4" w:space="0" w:color="auto"/>
            </w:tcBorders>
          </w:tcPr>
          <w:p w:rsidR="00736EC7" w:rsidRPr="00161162" w:rsidRDefault="00736EC7" w:rsidP="00736EC7">
            <w:pPr>
              <w:pStyle w:val="ListBullet"/>
              <w:numPr>
                <w:ilvl w:val="0"/>
                <w:numId w:val="0"/>
              </w:numPr>
              <w:tabs>
                <w:tab w:val="left" w:pos="720"/>
              </w:tabs>
              <w:jc w:val="center"/>
              <w:rPr>
                <w:rFonts w:ascii="Arial" w:hAnsi="Arial" w:cs="Arial"/>
                <w:sz w:val="22"/>
                <w:szCs w:val="22"/>
              </w:rPr>
            </w:pPr>
            <w:r w:rsidRPr="00161162">
              <w:rPr>
                <w:rFonts w:ascii="Arial" w:hAnsi="Arial" w:cs="Arial"/>
                <w:sz w:val="22"/>
                <w:szCs w:val="22"/>
              </w:rPr>
              <w:t>Reduce the Gap towards South Lanarkshire Figure (78.1)</w:t>
            </w:r>
          </w:p>
        </w:tc>
        <w:tc>
          <w:tcPr>
            <w:tcW w:w="1894" w:type="dxa"/>
            <w:tcBorders>
              <w:left w:val="single" w:sz="4" w:space="0" w:color="auto"/>
              <w:right w:val="single" w:sz="4" w:space="0" w:color="auto"/>
            </w:tcBorders>
          </w:tcPr>
          <w:p w:rsidR="00736EC7" w:rsidRPr="00161162" w:rsidRDefault="00736EC7" w:rsidP="002A5331">
            <w:pPr>
              <w:pStyle w:val="ListBullet"/>
              <w:numPr>
                <w:ilvl w:val="0"/>
                <w:numId w:val="0"/>
              </w:numPr>
              <w:tabs>
                <w:tab w:val="left" w:pos="720"/>
              </w:tabs>
              <w:jc w:val="center"/>
              <w:rPr>
                <w:rFonts w:ascii="Arial" w:hAnsi="Arial" w:cs="Arial"/>
                <w:sz w:val="22"/>
                <w:szCs w:val="22"/>
              </w:rPr>
            </w:pPr>
            <w:r w:rsidRPr="00161162">
              <w:rPr>
                <w:rFonts w:ascii="Arial" w:hAnsi="Arial" w:cs="Arial"/>
                <w:sz w:val="22"/>
                <w:szCs w:val="22"/>
              </w:rPr>
              <w:t>Reduce the Gap towards South Lanarkshire Figure (79.1)</w:t>
            </w:r>
          </w:p>
        </w:tc>
        <w:tc>
          <w:tcPr>
            <w:tcW w:w="1871" w:type="dxa"/>
            <w:tcBorders>
              <w:top w:val="single" w:sz="4" w:space="0" w:color="auto"/>
              <w:left w:val="single" w:sz="4" w:space="0" w:color="auto"/>
              <w:bottom w:val="single" w:sz="4" w:space="0" w:color="auto"/>
              <w:right w:val="single" w:sz="4" w:space="0" w:color="auto"/>
            </w:tcBorders>
          </w:tcPr>
          <w:p w:rsidR="00736EC7" w:rsidRPr="00161162" w:rsidRDefault="00736EC7" w:rsidP="002A5331">
            <w:pPr>
              <w:pStyle w:val="ListBullet"/>
              <w:numPr>
                <w:ilvl w:val="0"/>
                <w:numId w:val="0"/>
              </w:numPr>
              <w:tabs>
                <w:tab w:val="left" w:pos="720"/>
              </w:tabs>
              <w:jc w:val="center"/>
              <w:rPr>
                <w:rFonts w:ascii="Arial" w:hAnsi="Arial" w:cs="Arial"/>
                <w:sz w:val="22"/>
                <w:szCs w:val="22"/>
              </w:rPr>
            </w:pPr>
            <w:r w:rsidRPr="00161162">
              <w:rPr>
                <w:rFonts w:ascii="Arial" w:hAnsi="Arial" w:cs="Arial"/>
                <w:sz w:val="22"/>
                <w:szCs w:val="22"/>
              </w:rPr>
              <w:t>Reduce the Gap towards South Lanarkshire Figure (81.2)</w:t>
            </w:r>
          </w:p>
        </w:tc>
      </w:tr>
      <w:tr w:rsidR="00736EC7" w:rsidRPr="00763BD7" w:rsidTr="0054135A">
        <w:trPr>
          <w:trHeight w:val="525"/>
        </w:trPr>
        <w:tc>
          <w:tcPr>
            <w:tcW w:w="4724" w:type="dxa"/>
            <w:tcBorders>
              <w:top w:val="single" w:sz="4" w:space="0" w:color="auto"/>
              <w:left w:val="single" w:sz="4" w:space="0" w:color="auto"/>
              <w:bottom w:val="single" w:sz="4" w:space="0" w:color="auto"/>
              <w:right w:val="single" w:sz="4" w:space="0" w:color="auto"/>
            </w:tcBorders>
            <w:shd w:val="clear" w:color="auto" w:fill="FFFFFF" w:themeFill="background1"/>
          </w:tcPr>
          <w:p w:rsidR="00736EC7" w:rsidRDefault="006336E8" w:rsidP="006336E8">
            <w:pPr>
              <w:pStyle w:val="ListBullet"/>
              <w:numPr>
                <w:ilvl w:val="0"/>
                <w:numId w:val="0"/>
              </w:numPr>
              <w:tabs>
                <w:tab w:val="left" w:pos="720"/>
              </w:tabs>
              <w:rPr>
                <w:rFonts w:ascii="Arial" w:hAnsi="Arial" w:cs="Arial"/>
                <w:sz w:val="22"/>
                <w:szCs w:val="22"/>
              </w:rPr>
            </w:pPr>
            <w:r w:rsidRPr="00B87A04">
              <w:rPr>
                <w:rFonts w:ascii="Arial" w:hAnsi="Arial" w:cs="Arial"/>
                <w:b/>
                <w:sz w:val="22"/>
                <w:szCs w:val="22"/>
              </w:rPr>
              <w:t>Increase</w:t>
            </w:r>
            <w:r>
              <w:rPr>
                <w:rFonts w:ascii="Arial" w:hAnsi="Arial" w:cs="Arial"/>
                <w:sz w:val="22"/>
                <w:szCs w:val="22"/>
              </w:rPr>
              <w:t xml:space="preserve"> the l</w:t>
            </w:r>
            <w:r w:rsidRPr="00763BD7">
              <w:rPr>
                <w:rFonts w:ascii="Arial" w:hAnsi="Arial" w:cs="Arial"/>
                <w:sz w:val="22"/>
                <w:szCs w:val="22"/>
              </w:rPr>
              <w:t xml:space="preserve">ife expectancy levels in </w:t>
            </w:r>
            <w:r w:rsidR="00683EC7">
              <w:rPr>
                <w:rFonts w:ascii="Arial" w:hAnsi="Arial" w:cs="Arial"/>
                <w:sz w:val="22"/>
                <w:szCs w:val="22"/>
              </w:rPr>
              <w:t xml:space="preserve">the </w:t>
            </w:r>
            <w:r w:rsidRPr="00763BD7">
              <w:rPr>
                <w:rFonts w:ascii="Arial" w:hAnsi="Arial" w:cs="Arial"/>
                <w:sz w:val="22"/>
                <w:szCs w:val="22"/>
              </w:rPr>
              <w:t xml:space="preserve">15% most deprived areas of South Lanarkshire </w:t>
            </w:r>
            <w:r>
              <w:rPr>
                <w:rFonts w:ascii="Arial" w:hAnsi="Arial" w:cs="Arial"/>
                <w:sz w:val="22"/>
                <w:szCs w:val="22"/>
              </w:rPr>
              <w:t xml:space="preserve">to be </w:t>
            </w:r>
            <w:r w:rsidRPr="00763BD7">
              <w:rPr>
                <w:rFonts w:ascii="Arial" w:hAnsi="Arial" w:cs="Arial"/>
                <w:sz w:val="22"/>
                <w:szCs w:val="22"/>
              </w:rPr>
              <w:t xml:space="preserve">comparable with South Lanarkshire </w:t>
            </w:r>
            <w:r w:rsidR="00E83229">
              <w:rPr>
                <w:rFonts w:ascii="Arial" w:hAnsi="Arial" w:cs="Arial"/>
                <w:sz w:val="22"/>
                <w:szCs w:val="22"/>
              </w:rPr>
              <w:t>Average</w:t>
            </w:r>
            <w:r w:rsidRPr="00763BD7">
              <w:rPr>
                <w:rFonts w:ascii="Arial" w:hAnsi="Arial" w:cs="Arial"/>
                <w:sz w:val="22"/>
                <w:szCs w:val="22"/>
              </w:rPr>
              <w:t xml:space="preserve"> </w:t>
            </w:r>
            <w:r w:rsidR="00736EC7" w:rsidRPr="00763BD7">
              <w:rPr>
                <w:rFonts w:ascii="Arial" w:hAnsi="Arial" w:cs="Arial"/>
                <w:sz w:val="22"/>
                <w:szCs w:val="22"/>
              </w:rPr>
              <w:t>(Male)</w:t>
            </w:r>
          </w:p>
          <w:p w:rsidR="00736EC7" w:rsidRDefault="00736EC7" w:rsidP="003E42BD">
            <w:pPr>
              <w:pStyle w:val="ListBullet"/>
              <w:numPr>
                <w:ilvl w:val="0"/>
                <w:numId w:val="0"/>
              </w:numPr>
              <w:tabs>
                <w:tab w:val="left" w:pos="720"/>
              </w:tabs>
              <w:rPr>
                <w:rFonts w:ascii="Arial" w:hAnsi="Arial" w:cs="Arial"/>
                <w:sz w:val="22"/>
                <w:szCs w:val="22"/>
              </w:rPr>
            </w:pPr>
          </w:p>
          <w:p w:rsidR="00736EC7" w:rsidRPr="00763BD7" w:rsidRDefault="00161162" w:rsidP="002A5331">
            <w:pPr>
              <w:pStyle w:val="ListBullet"/>
              <w:numPr>
                <w:ilvl w:val="0"/>
                <w:numId w:val="0"/>
              </w:numPr>
              <w:tabs>
                <w:tab w:val="left" w:pos="720"/>
              </w:tabs>
              <w:rPr>
                <w:rFonts w:ascii="Arial" w:hAnsi="Arial" w:cs="Arial"/>
                <w:sz w:val="22"/>
                <w:szCs w:val="22"/>
              </w:rPr>
            </w:pPr>
            <w:r w:rsidRPr="002A5331">
              <w:rPr>
                <w:rFonts w:ascii="Arial" w:hAnsi="Arial" w:cs="Arial"/>
                <w:b/>
                <w:sz w:val="22"/>
                <w:szCs w:val="22"/>
              </w:rPr>
              <w:t>Source:</w:t>
            </w:r>
            <w:r>
              <w:rPr>
                <w:rFonts w:ascii="Arial" w:hAnsi="Arial" w:cs="Arial"/>
                <w:b/>
                <w:sz w:val="22"/>
                <w:szCs w:val="22"/>
              </w:rPr>
              <w:t xml:space="preserve"> </w:t>
            </w:r>
            <w:r w:rsidRPr="002A5331">
              <w:rPr>
                <w:rFonts w:ascii="Arial" w:hAnsi="Arial" w:cs="Arial"/>
                <w:b/>
                <w:sz w:val="22"/>
                <w:szCs w:val="22"/>
              </w:rPr>
              <w:t>nrscotland</w:t>
            </w:r>
          </w:p>
        </w:tc>
        <w:tc>
          <w:tcPr>
            <w:tcW w:w="1763" w:type="dxa"/>
            <w:tcBorders>
              <w:top w:val="single" w:sz="4" w:space="0" w:color="auto"/>
              <w:left w:val="single" w:sz="4" w:space="0" w:color="auto"/>
              <w:bottom w:val="single" w:sz="4" w:space="0" w:color="auto"/>
              <w:right w:val="single" w:sz="4" w:space="0" w:color="auto"/>
            </w:tcBorders>
          </w:tcPr>
          <w:p w:rsidR="0010762E" w:rsidRDefault="0010762E"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 </w:t>
            </w:r>
            <w:r w:rsidR="00736EC7">
              <w:rPr>
                <w:rFonts w:ascii="Arial" w:hAnsi="Arial" w:cs="Arial"/>
                <w:sz w:val="22"/>
                <w:szCs w:val="22"/>
              </w:rPr>
              <w:t>(2015)</w:t>
            </w:r>
            <w:r w:rsidR="006336E8">
              <w:rPr>
                <w:rFonts w:ascii="Arial" w:hAnsi="Arial" w:cs="Arial"/>
                <w:sz w:val="22"/>
                <w:szCs w:val="22"/>
              </w:rPr>
              <w:t xml:space="preserve"> </w:t>
            </w:r>
          </w:p>
          <w:p w:rsidR="0010762E" w:rsidRDefault="0010762E" w:rsidP="0010762E">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77.7 </w:t>
            </w:r>
          </w:p>
          <w:p w:rsidR="00736EC7" w:rsidRPr="00763BD7" w:rsidRDefault="006336E8"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South Lanarkshire Average</w:t>
            </w:r>
          </w:p>
        </w:tc>
        <w:tc>
          <w:tcPr>
            <w:tcW w:w="1843" w:type="dxa"/>
            <w:tcBorders>
              <w:top w:val="single" w:sz="4" w:space="0" w:color="auto"/>
              <w:left w:val="single" w:sz="4" w:space="0" w:color="auto"/>
              <w:bottom w:val="single" w:sz="4" w:space="0" w:color="auto"/>
              <w:right w:val="single" w:sz="4" w:space="0" w:color="auto"/>
            </w:tcBorders>
          </w:tcPr>
          <w:p w:rsidR="00736EC7" w:rsidRDefault="0010762E" w:rsidP="00B45DB9">
            <w:pPr>
              <w:pStyle w:val="ListBullet"/>
              <w:numPr>
                <w:ilvl w:val="0"/>
                <w:numId w:val="0"/>
              </w:numPr>
              <w:tabs>
                <w:tab w:val="left" w:pos="720"/>
              </w:tabs>
              <w:jc w:val="center"/>
              <w:rPr>
                <w:rFonts w:ascii="Arial" w:hAnsi="Arial" w:cs="Arial"/>
                <w:sz w:val="22"/>
                <w:szCs w:val="22"/>
              </w:rPr>
            </w:pPr>
            <w:r w:rsidRPr="00763BD7">
              <w:rPr>
                <w:rFonts w:ascii="Arial" w:hAnsi="Arial" w:cs="Arial"/>
                <w:sz w:val="22"/>
                <w:szCs w:val="22"/>
              </w:rPr>
              <w:t xml:space="preserve"> </w:t>
            </w:r>
            <w:r w:rsidR="00736EC7" w:rsidRPr="00763BD7">
              <w:rPr>
                <w:rFonts w:ascii="Arial" w:hAnsi="Arial" w:cs="Arial"/>
                <w:sz w:val="22"/>
                <w:szCs w:val="22"/>
              </w:rPr>
              <w:t>(201</w:t>
            </w:r>
            <w:r w:rsidR="00E36046">
              <w:rPr>
                <w:rFonts w:ascii="Arial" w:hAnsi="Arial" w:cs="Arial"/>
                <w:sz w:val="22"/>
                <w:szCs w:val="22"/>
              </w:rPr>
              <w:t>4/16</w:t>
            </w:r>
            <w:r w:rsidR="00736EC7" w:rsidRPr="00763BD7">
              <w:rPr>
                <w:rFonts w:ascii="Arial" w:hAnsi="Arial" w:cs="Arial"/>
                <w:sz w:val="22"/>
                <w:szCs w:val="22"/>
              </w:rPr>
              <w:t>)</w:t>
            </w:r>
          </w:p>
          <w:p w:rsidR="0010762E" w:rsidRDefault="00E36046" w:rsidP="0010762E">
            <w:pPr>
              <w:pStyle w:val="ListBullet"/>
              <w:numPr>
                <w:ilvl w:val="0"/>
                <w:numId w:val="0"/>
              </w:numPr>
              <w:tabs>
                <w:tab w:val="left" w:pos="720"/>
              </w:tabs>
              <w:jc w:val="center"/>
              <w:rPr>
                <w:rFonts w:ascii="Arial" w:hAnsi="Arial" w:cs="Arial"/>
                <w:sz w:val="22"/>
                <w:szCs w:val="22"/>
              </w:rPr>
            </w:pPr>
            <w:r>
              <w:rPr>
                <w:rFonts w:ascii="Arial" w:hAnsi="Arial" w:cs="Arial"/>
                <w:sz w:val="22"/>
                <w:szCs w:val="22"/>
              </w:rPr>
              <w:t>71.9</w:t>
            </w:r>
          </w:p>
          <w:p w:rsidR="0010762E" w:rsidRPr="00763BD7" w:rsidRDefault="0010762E" w:rsidP="00B45DB9">
            <w:pPr>
              <w:pStyle w:val="ListBullet"/>
              <w:numPr>
                <w:ilvl w:val="0"/>
                <w:numId w:val="0"/>
              </w:numPr>
              <w:tabs>
                <w:tab w:val="left" w:pos="720"/>
              </w:tabs>
              <w:jc w:val="center"/>
              <w:rPr>
                <w:rFonts w:ascii="Arial" w:hAnsi="Arial" w:cs="Arial"/>
                <w:sz w:val="22"/>
                <w:szCs w:val="22"/>
              </w:rPr>
            </w:pPr>
          </w:p>
        </w:tc>
        <w:tc>
          <w:tcPr>
            <w:tcW w:w="2079" w:type="dxa"/>
            <w:tcBorders>
              <w:top w:val="single" w:sz="4" w:space="0" w:color="auto"/>
              <w:left w:val="single" w:sz="4" w:space="0" w:color="auto"/>
              <w:bottom w:val="single" w:sz="4" w:space="0" w:color="auto"/>
              <w:right w:val="single" w:sz="4" w:space="0" w:color="auto"/>
            </w:tcBorders>
          </w:tcPr>
          <w:p w:rsidR="00736EC7" w:rsidRPr="00161162" w:rsidRDefault="00736EC7" w:rsidP="00736EC7">
            <w:pPr>
              <w:pStyle w:val="ListBullet"/>
              <w:numPr>
                <w:ilvl w:val="0"/>
                <w:numId w:val="0"/>
              </w:numPr>
              <w:tabs>
                <w:tab w:val="left" w:pos="720"/>
              </w:tabs>
              <w:jc w:val="center"/>
              <w:rPr>
                <w:rFonts w:ascii="Arial" w:hAnsi="Arial" w:cs="Arial"/>
                <w:sz w:val="22"/>
                <w:szCs w:val="22"/>
              </w:rPr>
            </w:pPr>
            <w:r w:rsidRPr="00161162">
              <w:rPr>
                <w:rFonts w:ascii="Arial" w:hAnsi="Arial" w:cs="Arial"/>
                <w:sz w:val="22"/>
                <w:szCs w:val="22"/>
              </w:rPr>
              <w:t>Reduce the Gap towards South Lanarkshire Figure (71.6)</w:t>
            </w:r>
          </w:p>
        </w:tc>
        <w:tc>
          <w:tcPr>
            <w:tcW w:w="1894" w:type="dxa"/>
            <w:tcBorders>
              <w:top w:val="single" w:sz="4" w:space="0" w:color="auto"/>
              <w:left w:val="single" w:sz="4" w:space="0" w:color="auto"/>
              <w:bottom w:val="single" w:sz="4" w:space="0" w:color="auto"/>
              <w:right w:val="single" w:sz="4" w:space="0" w:color="auto"/>
            </w:tcBorders>
          </w:tcPr>
          <w:p w:rsidR="00736EC7" w:rsidRPr="00161162" w:rsidRDefault="00736EC7" w:rsidP="00736EC7">
            <w:pPr>
              <w:pStyle w:val="ListBullet"/>
              <w:numPr>
                <w:ilvl w:val="0"/>
                <w:numId w:val="0"/>
              </w:numPr>
              <w:tabs>
                <w:tab w:val="left" w:pos="720"/>
              </w:tabs>
              <w:jc w:val="center"/>
              <w:rPr>
                <w:rFonts w:ascii="Arial" w:hAnsi="Arial" w:cs="Arial"/>
                <w:sz w:val="22"/>
                <w:szCs w:val="22"/>
              </w:rPr>
            </w:pPr>
            <w:r w:rsidRPr="00161162">
              <w:rPr>
                <w:rFonts w:ascii="Arial" w:hAnsi="Arial" w:cs="Arial"/>
                <w:sz w:val="22"/>
                <w:szCs w:val="22"/>
              </w:rPr>
              <w:t>Reduce the Gap towards South Lanarkshire Figure (72.1)</w:t>
            </w:r>
          </w:p>
        </w:tc>
        <w:tc>
          <w:tcPr>
            <w:tcW w:w="1871" w:type="dxa"/>
            <w:tcBorders>
              <w:top w:val="single" w:sz="4" w:space="0" w:color="auto"/>
              <w:left w:val="single" w:sz="4" w:space="0" w:color="auto"/>
              <w:bottom w:val="single" w:sz="4" w:space="0" w:color="auto"/>
              <w:right w:val="single" w:sz="4" w:space="0" w:color="auto"/>
            </w:tcBorders>
          </w:tcPr>
          <w:p w:rsidR="00736EC7" w:rsidRPr="00161162" w:rsidRDefault="00736EC7" w:rsidP="00736EC7">
            <w:pPr>
              <w:pStyle w:val="ListBullet"/>
              <w:numPr>
                <w:ilvl w:val="0"/>
                <w:numId w:val="0"/>
              </w:numPr>
              <w:tabs>
                <w:tab w:val="left" w:pos="720"/>
              </w:tabs>
              <w:jc w:val="center"/>
              <w:rPr>
                <w:rFonts w:ascii="Arial" w:hAnsi="Arial" w:cs="Arial"/>
                <w:sz w:val="22"/>
                <w:szCs w:val="22"/>
              </w:rPr>
            </w:pPr>
            <w:r w:rsidRPr="00161162">
              <w:rPr>
                <w:rFonts w:ascii="Arial" w:hAnsi="Arial" w:cs="Arial"/>
                <w:sz w:val="22"/>
                <w:szCs w:val="22"/>
              </w:rPr>
              <w:t>Reduce the Gap towards South Lanarkshire Figure (77.7)</w:t>
            </w:r>
          </w:p>
          <w:p w:rsidR="00736EC7" w:rsidRPr="00161162" w:rsidRDefault="00736EC7" w:rsidP="00736EC7">
            <w:pPr>
              <w:pStyle w:val="ListBullet"/>
              <w:numPr>
                <w:ilvl w:val="0"/>
                <w:numId w:val="0"/>
              </w:numPr>
              <w:tabs>
                <w:tab w:val="left" w:pos="720"/>
              </w:tabs>
              <w:jc w:val="center"/>
              <w:rPr>
                <w:rFonts w:ascii="Arial" w:hAnsi="Arial" w:cs="Arial"/>
                <w:sz w:val="22"/>
                <w:szCs w:val="22"/>
              </w:rPr>
            </w:pPr>
          </w:p>
        </w:tc>
      </w:tr>
      <w:tr w:rsidR="00736EC7" w:rsidRPr="00763BD7" w:rsidTr="0054135A">
        <w:trPr>
          <w:trHeight w:val="525"/>
        </w:trPr>
        <w:tc>
          <w:tcPr>
            <w:tcW w:w="4724" w:type="dxa"/>
            <w:tcBorders>
              <w:top w:val="single" w:sz="4" w:space="0" w:color="auto"/>
              <w:left w:val="single" w:sz="4" w:space="0" w:color="auto"/>
              <w:bottom w:val="single" w:sz="4" w:space="0" w:color="auto"/>
              <w:right w:val="single" w:sz="4" w:space="0" w:color="auto"/>
            </w:tcBorders>
            <w:shd w:val="clear" w:color="auto" w:fill="auto"/>
          </w:tcPr>
          <w:p w:rsidR="00736EC7" w:rsidRDefault="00736EC7" w:rsidP="00763BD7">
            <w:pPr>
              <w:pStyle w:val="ListBullet"/>
              <w:numPr>
                <w:ilvl w:val="0"/>
                <w:numId w:val="0"/>
              </w:numPr>
              <w:tabs>
                <w:tab w:val="left" w:pos="720"/>
              </w:tabs>
              <w:rPr>
                <w:rFonts w:ascii="Arial" w:hAnsi="Arial" w:cs="Arial"/>
                <w:sz w:val="22"/>
                <w:szCs w:val="22"/>
              </w:rPr>
            </w:pPr>
            <w:r w:rsidRPr="00B87A04">
              <w:rPr>
                <w:rFonts w:ascii="Arial" w:hAnsi="Arial" w:cs="Arial"/>
                <w:b/>
                <w:sz w:val="22"/>
                <w:szCs w:val="22"/>
              </w:rPr>
              <w:t>Reduce</w:t>
            </w:r>
            <w:r w:rsidRPr="00763BD7">
              <w:rPr>
                <w:rFonts w:ascii="Arial" w:hAnsi="Arial" w:cs="Arial"/>
                <w:sz w:val="22"/>
                <w:szCs w:val="22"/>
              </w:rPr>
              <w:t xml:space="preserve"> the rate of pregnant mothers in the 15% most deprived areas who smoke during their pregnancy</w:t>
            </w:r>
          </w:p>
          <w:p w:rsidR="00D70657" w:rsidRDefault="00D70657" w:rsidP="00763BD7">
            <w:pPr>
              <w:pStyle w:val="ListBullet"/>
              <w:numPr>
                <w:ilvl w:val="0"/>
                <w:numId w:val="0"/>
              </w:numPr>
              <w:tabs>
                <w:tab w:val="left" w:pos="720"/>
              </w:tabs>
              <w:rPr>
                <w:rFonts w:ascii="Arial" w:hAnsi="Arial" w:cs="Arial"/>
                <w:sz w:val="22"/>
                <w:szCs w:val="22"/>
              </w:rPr>
            </w:pPr>
          </w:p>
          <w:p w:rsidR="00161162" w:rsidRPr="00763BD7" w:rsidRDefault="00D70657" w:rsidP="00D70657">
            <w:pPr>
              <w:pStyle w:val="ListBullet"/>
              <w:numPr>
                <w:ilvl w:val="0"/>
                <w:numId w:val="0"/>
              </w:numPr>
              <w:tabs>
                <w:tab w:val="left" w:pos="720"/>
              </w:tabs>
              <w:rPr>
                <w:rFonts w:ascii="Arial" w:hAnsi="Arial" w:cs="Arial"/>
                <w:sz w:val="22"/>
                <w:szCs w:val="22"/>
              </w:rPr>
            </w:pPr>
            <w:r>
              <w:rPr>
                <w:rFonts w:ascii="Arial" w:hAnsi="Arial" w:cs="Arial"/>
                <w:b/>
                <w:sz w:val="22"/>
                <w:szCs w:val="22"/>
              </w:rPr>
              <w:t>Source:  scotpho</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10762E" w:rsidRDefault="0010762E"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 </w:t>
            </w:r>
            <w:r w:rsidR="00685B32">
              <w:rPr>
                <w:rFonts w:ascii="Arial" w:hAnsi="Arial" w:cs="Arial"/>
                <w:sz w:val="22"/>
                <w:szCs w:val="22"/>
              </w:rPr>
              <w:t>(2014</w:t>
            </w:r>
            <w:r w:rsidR="009A0B44">
              <w:rPr>
                <w:rFonts w:ascii="Arial" w:hAnsi="Arial" w:cs="Arial"/>
                <w:sz w:val="22"/>
                <w:szCs w:val="22"/>
              </w:rPr>
              <w:t>)</w:t>
            </w:r>
            <w:r w:rsidR="00CA23A9">
              <w:rPr>
                <w:rFonts w:ascii="Arial" w:hAnsi="Arial" w:cs="Arial"/>
                <w:sz w:val="22"/>
                <w:szCs w:val="22"/>
              </w:rPr>
              <w:t xml:space="preserve"> </w:t>
            </w:r>
          </w:p>
          <w:p w:rsidR="0010762E" w:rsidRDefault="0010762E" w:rsidP="0010762E">
            <w:pPr>
              <w:pStyle w:val="ListBullet"/>
              <w:numPr>
                <w:ilvl w:val="0"/>
                <w:numId w:val="0"/>
              </w:numPr>
              <w:tabs>
                <w:tab w:val="left" w:pos="720"/>
              </w:tabs>
              <w:jc w:val="center"/>
              <w:rPr>
                <w:rFonts w:ascii="Arial" w:hAnsi="Arial" w:cs="Arial"/>
                <w:sz w:val="22"/>
                <w:szCs w:val="22"/>
              </w:rPr>
            </w:pPr>
            <w:r>
              <w:rPr>
                <w:rFonts w:ascii="Arial" w:hAnsi="Arial" w:cs="Arial"/>
                <w:sz w:val="22"/>
                <w:szCs w:val="22"/>
              </w:rPr>
              <w:t>16.5</w:t>
            </w:r>
            <w:r w:rsidRPr="00763BD7">
              <w:rPr>
                <w:rFonts w:ascii="Arial" w:hAnsi="Arial" w:cs="Arial"/>
                <w:sz w:val="22"/>
                <w:szCs w:val="22"/>
              </w:rPr>
              <w:t>%</w:t>
            </w:r>
            <w:r>
              <w:rPr>
                <w:rFonts w:ascii="Arial" w:hAnsi="Arial" w:cs="Arial"/>
                <w:sz w:val="22"/>
                <w:szCs w:val="22"/>
              </w:rPr>
              <w:t xml:space="preserve"> </w:t>
            </w:r>
          </w:p>
          <w:p w:rsidR="009A0B44" w:rsidRPr="00763BD7" w:rsidRDefault="00685B32" w:rsidP="00CA23A9">
            <w:pPr>
              <w:pStyle w:val="ListBullet"/>
              <w:numPr>
                <w:ilvl w:val="0"/>
                <w:numId w:val="0"/>
              </w:numPr>
              <w:tabs>
                <w:tab w:val="left" w:pos="720"/>
              </w:tabs>
              <w:jc w:val="center"/>
              <w:rPr>
                <w:rFonts w:ascii="Arial" w:hAnsi="Arial" w:cs="Arial"/>
                <w:sz w:val="22"/>
                <w:szCs w:val="22"/>
              </w:rPr>
            </w:pPr>
            <w:r>
              <w:rPr>
                <w:rFonts w:ascii="Arial" w:hAnsi="Arial" w:cs="Arial"/>
                <w:sz w:val="22"/>
                <w:szCs w:val="22"/>
              </w:rPr>
              <w:t>South Lanarkshire Average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6EC7" w:rsidRDefault="0010762E"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 </w:t>
            </w:r>
            <w:r w:rsidR="00E36046">
              <w:rPr>
                <w:rFonts w:ascii="Arial" w:hAnsi="Arial" w:cs="Arial"/>
                <w:sz w:val="22"/>
                <w:szCs w:val="22"/>
              </w:rPr>
              <w:t>(2015</w:t>
            </w:r>
            <w:r w:rsidR="00736EC7" w:rsidRPr="00763BD7">
              <w:rPr>
                <w:rFonts w:ascii="Arial" w:hAnsi="Arial" w:cs="Arial"/>
                <w:sz w:val="22"/>
                <w:szCs w:val="22"/>
              </w:rPr>
              <w:t>)</w:t>
            </w:r>
          </w:p>
          <w:p w:rsidR="0010762E" w:rsidRDefault="00E36046" w:rsidP="0010762E">
            <w:pPr>
              <w:pStyle w:val="ListBullet"/>
              <w:numPr>
                <w:ilvl w:val="0"/>
                <w:numId w:val="0"/>
              </w:numPr>
              <w:tabs>
                <w:tab w:val="left" w:pos="720"/>
              </w:tabs>
              <w:jc w:val="center"/>
              <w:rPr>
                <w:rFonts w:ascii="Arial" w:hAnsi="Arial" w:cs="Arial"/>
                <w:sz w:val="22"/>
                <w:szCs w:val="22"/>
              </w:rPr>
            </w:pPr>
            <w:r>
              <w:rPr>
                <w:rFonts w:ascii="Arial" w:hAnsi="Arial" w:cs="Arial"/>
                <w:sz w:val="22"/>
                <w:szCs w:val="22"/>
              </w:rPr>
              <w:t>28.0</w:t>
            </w:r>
            <w:r w:rsidR="0010762E">
              <w:rPr>
                <w:rFonts w:ascii="Arial" w:hAnsi="Arial" w:cs="Arial"/>
                <w:sz w:val="22"/>
                <w:szCs w:val="22"/>
              </w:rPr>
              <w:t xml:space="preserve">% </w:t>
            </w:r>
          </w:p>
          <w:p w:rsidR="0010762E" w:rsidRPr="00763BD7" w:rsidRDefault="0010762E" w:rsidP="00B45DB9">
            <w:pPr>
              <w:pStyle w:val="ListBullet"/>
              <w:numPr>
                <w:ilvl w:val="0"/>
                <w:numId w:val="0"/>
              </w:numPr>
              <w:tabs>
                <w:tab w:val="left" w:pos="720"/>
              </w:tabs>
              <w:jc w:val="center"/>
              <w:rPr>
                <w:rFonts w:ascii="Arial" w:hAnsi="Arial" w:cs="Arial"/>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736EC7" w:rsidRPr="00763BD7" w:rsidRDefault="00736EC7" w:rsidP="00161162">
            <w:pPr>
              <w:pStyle w:val="ListBullet"/>
              <w:numPr>
                <w:ilvl w:val="0"/>
                <w:numId w:val="0"/>
              </w:numPr>
              <w:tabs>
                <w:tab w:val="left" w:pos="720"/>
              </w:tabs>
              <w:jc w:val="center"/>
              <w:rPr>
                <w:rFonts w:ascii="Arial" w:hAnsi="Arial" w:cs="Arial"/>
                <w:sz w:val="22"/>
                <w:szCs w:val="22"/>
              </w:rPr>
            </w:pPr>
            <w:r w:rsidRPr="00763BD7">
              <w:rPr>
                <w:rFonts w:ascii="Arial" w:hAnsi="Arial" w:cs="Arial"/>
                <w:sz w:val="22"/>
                <w:szCs w:val="22"/>
              </w:rPr>
              <w:t xml:space="preserve">Reduce the Gap </w:t>
            </w:r>
            <w:r w:rsidR="00161162">
              <w:rPr>
                <w:rFonts w:ascii="Arial" w:hAnsi="Arial" w:cs="Arial"/>
                <w:sz w:val="22"/>
                <w:szCs w:val="22"/>
              </w:rPr>
              <w:t xml:space="preserve">by 1% </w:t>
            </w:r>
            <w:r w:rsidRPr="00763BD7">
              <w:rPr>
                <w:rFonts w:ascii="Arial" w:hAnsi="Arial" w:cs="Arial"/>
                <w:sz w:val="22"/>
                <w:szCs w:val="22"/>
              </w:rPr>
              <w:t>towards South Lanarkshire Figure</w:t>
            </w:r>
            <w:r w:rsidR="00685B32">
              <w:rPr>
                <w:rFonts w:ascii="Arial" w:hAnsi="Arial" w:cs="Arial"/>
                <w:sz w:val="22"/>
                <w:szCs w:val="22"/>
              </w:rPr>
              <w:t xml:space="preserve"> </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736EC7" w:rsidRPr="00763BD7" w:rsidRDefault="00736EC7" w:rsidP="00161162">
            <w:pPr>
              <w:pStyle w:val="ListBullet"/>
              <w:numPr>
                <w:ilvl w:val="0"/>
                <w:numId w:val="0"/>
              </w:numPr>
              <w:tabs>
                <w:tab w:val="left" w:pos="720"/>
              </w:tabs>
              <w:jc w:val="center"/>
              <w:rPr>
                <w:rFonts w:ascii="Arial" w:hAnsi="Arial" w:cs="Arial"/>
                <w:sz w:val="22"/>
                <w:szCs w:val="22"/>
              </w:rPr>
            </w:pPr>
            <w:r w:rsidRPr="00763BD7">
              <w:rPr>
                <w:rFonts w:ascii="Arial" w:hAnsi="Arial" w:cs="Arial"/>
                <w:sz w:val="22"/>
                <w:szCs w:val="22"/>
              </w:rPr>
              <w:t xml:space="preserve">Reduce the Gap </w:t>
            </w:r>
            <w:r w:rsidR="00161162">
              <w:rPr>
                <w:rFonts w:ascii="Arial" w:hAnsi="Arial" w:cs="Arial"/>
                <w:sz w:val="22"/>
                <w:szCs w:val="22"/>
              </w:rPr>
              <w:t xml:space="preserve">by 1% </w:t>
            </w:r>
            <w:r w:rsidRPr="00763BD7">
              <w:rPr>
                <w:rFonts w:ascii="Arial" w:hAnsi="Arial" w:cs="Arial"/>
                <w:sz w:val="22"/>
                <w:szCs w:val="22"/>
              </w:rPr>
              <w:t xml:space="preserve">towards South Lanarkshire Figure </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736EC7" w:rsidRPr="00763BD7" w:rsidRDefault="00736EC7" w:rsidP="00B45DB9">
            <w:pPr>
              <w:pStyle w:val="ListBullet"/>
              <w:numPr>
                <w:ilvl w:val="0"/>
                <w:numId w:val="0"/>
              </w:numPr>
              <w:tabs>
                <w:tab w:val="left" w:pos="720"/>
              </w:tabs>
              <w:jc w:val="center"/>
              <w:rPr>
                <w:rFonts w:ascii="Arial" w:hAnsi="Arial" w:cs="Arial"/>
                <w:sz w:val="22"/>
                <w:szCs w:val="22"/>
              </w:rPr>
            </w:pPr>
            <w:r w:rsidRPr="00763BD7">
              <w:rPr>
                <w:rFonts w:ascii="Arial" w:hAnsi="Arial" w:cs="Arial"/>
                <w:sz w:val="22"/>
                <w:szCs w:val="22"/>
              </w:rPr>
              <w:t>Close Gap to South Lanarkshire Average</w:t>
            </w:r>
            <w:r w:rsidR="00685B32">
              <w:rPr>
                <w:rFonts w:ascii="Arial" w:hAnsi="Arial" w:cs="Arial"/>
                <w:sz w:val="22"/>
                <w:szCs w:val="22"/>
              </w:rPr>
              <w:t xml:space="preserve"> </w:t>
            </w:r>
            <w:r w:rsidR="00161162">
              <w:rPr>
                <w:rFonts w:ascii="Arial" w:hAnsi="Arial" w:cs="Arial"/>
                <w:sz w:val="22"/>
                <w:szCs w:val="22"/>
              </w:rPr>
              <w:t>(12%)</w:t>
            </w:r>
          </w:p>
        </w:tc>
      </w:tr>
      <w:tr w:rsidR="00D70657" w:rsidRPr="00763BD7" w:rsidTr="0054135A">
        <w:trPr>
          <w:trHeight w:val="525"/>
        </w:trPr>
        <w:tc>
          <w:tcPr>
            <w:tcW w:w="4724" w:type="dxa"/>
            <w:tcBorders>
              <w:top w:val="single" w:sz="4" w:space="0" w:color="auto"/>
              <w:left w:val="single" w:sz="4" w:space="0" w:color="auto"/>
              <w:bottom w:val="single" w:sz="4" w:space="0" w:color="auto"/>
              <w:right w:val="single" w:sz="4" w:space="0" w:color="auto"/>
            </w:tcBorders>
            <w:shd w:val="clear" w:color="auto" w:fill="FFFFFF" w:themeFill="background1"/>
          </w:tcPr>
          <w:p w:rsidR="00D70657" w:rsidRPr="00236DEC" w:rsidRDefault="00B87A04" w:rsidP="00B45DB9">
            <w:pPr>
              <w:pStyle w:val="ListBullet"/>
              <w:numPr>
                <w:ilvl w:val="0"/>
                <w:numId w:val="0"/>
              </w:numPr>
              <w:tabs>
                <w:tab w:val="left" w:pos="720"/>
              </w:tabs>
              <w:rPr>
                <w:rFonts w:ascii="Arial" w:hAnsi="Arial" w:cs="Arial"/>
                <w:sz w:val="22"/>
                <w:szCs w:val="22"/>
              </w:rPr>
            </w:pPr>
            <w:r w:rsidRPr="00236DEC">
              <w:rPr>
                <w:rFonts w:ascii="Arial" w:hAnsi="Arial" w:cs="Arial"/>
                <w:b/>
                <w:sz w:val="22"/>
                <w:szCs w:val="22"/>
              </w:rPr>
              <w:t>Monitor</w:t>
            </w:r>
            <w:r w:rsidR="00D70657" w:rsidRPr="00236DEC">
              <w:rPr>
                <w:rFonts w:ascii="Arial" w:hAnsi="Arial" w:cs="Arial"/>
                <w:sz w:val="22"/>
                <w:szCs w:val="22"/>
              </w:rPr>
              <w:t xml:space="preserve"> the </w:t>
            </w:r>
            <w:r w:rsidR="00E5241A" w:rsidRPr="00236DEC">
              <w:rPr>
                <w:rFonts w:ascii="Arial" w:hAnsi="Arial" w:cs="Arial"/>
                <w:sz w:val="22"/>
                <w:szCs w:val="22"/>
              </w:rPr>
              <w:t>percentage</w:t>
            </w:r>
            <w:r w:rsidR="00D70657" w:rsidRPr="00236DEC">
              <w:rPr>
                <w:rFonts w:ascii="Arial" w:hAnsi="Arial" w:cs="Arial"/>
                <w:sz w:val="22"/>
                <w:szCs w:val="22"/>
              </w:rPr>
              <w:t xml:space="preserve"> of people who have 2 to 4 long term conditions</w:t>
            </w:r>
          </w:p>
          <w:p w:rsidR="00D70657" w:rsidRPr="00236DEC" w:rsidRDefault="00D70657" w:rsidP="00B45DB9">
            <w:pPr>
              <w:pStyle w:val="ListBullet"/>
              <w:numPr>
                <w:ilvl w:val="0"/>
                <w:numId w:val="0"/>
              </w:numPr>
              <w:tabs>
                <w:tab w:val="left" w:pos="720"/>
              </w:tabs>
              <w:rPr>
                <w:rFonts w:ascii="Arial" w:hAnsi="Arial" w:cs="Arial"/>
                <w:sz w:val="22"/>
                <w:szCs w:val="22"/>
              </w:rPr>
            </w:pPr>
          </w:p>
          <w:p w:rsidR="00D70657" w:rsidRPr="00236DEC" w:rsidRDefault="00D70657" w:rsidP="00D70657">
            <w:pPr>
              <w:pStyle w:val="ListBullet"/>
              <w:numPr>
                <w:ilvl w:val="0"/>
                <w:numId w:val="0"/>
              </w:numPr>
              <w:tabs>
                <w:tab w:val="left" w:pos="720"/>
              </w:tabs>
              <w:rPr>
                <w:rFonts w:ascii="Arial" w:hAnsi="Arial" w:cs="Arial"/>
                <w:sz w:val="22"/>
                <w:szCs w:val="22"/>
              </w:rPr>
            </w:pPr>
            <w:r w:rsidRPr="00236DEC">
              <w:rPr>
                <w:rFonts w:ascii="Arial" w:hAnsi="Arial" w:cs="Arial"/>
                <w:b/>
                <w:sz w:val="22"/>
                <w:szCs w:val="22"/>
              </w:rPr>
              <w:t>Source:  NEXUS</w:t>
            </w:r>
          </w:p>
        </w:tc>
        <w:tc>
          <w:tcPr>
            <w:tcW w:w="1763" w:type="dxa"/>
            <w:tcBorders>
              <w:top w:val="single" w:sz="4" w:space="0" w:color="auto"/>
              <w:left w:val="single" w:sz="4" w:space="0" w:color="auto"/>
              <w:bottom w:val="single" w:sz="4" w:space="0" w:color="auto"/>
              <w:right w:val="single" w:sz="4" w:space="0" w:color="auto"/>
            </w:tcBorders>
          </w:tcPr>
          <w:p w:rsidR="00D70657" w:rsidRPr="00D44DD9" w:rsidRDefault="00D70657" w:rsidP="00B45DB9">
            <w:pPr>
              <w:pStyle w:val="ListBullet"/>
              <w:numPr>
                <w:ilvl w:val="0"/>
                <w:numId w:val="0"/>
              </w:numPr>
              <w:tabs>
                <w:tab w:val="left" w:pos="720"/>
              </w:tabs>
              <w:jc w:val="center"/>
              <w:rPr>
                <w:rFonts w:ascii="Arial" w:hAnsi="Arial" w:cs="Arial"/>
                <w:sz w:val="22"/>
                <w:szCs w:val="22"/>
              </w:rPr>
            </w:pPr>
            <w:r w:rsidRPr="00D44DD9">
              <w:rPr>
                <w:rFonts w:ascii="Arial" w:hAnsi="Arial" w:cs="Arial"/>
                <w:sz w:val="22"/>
                <w:szCs w:val="22"/>
              </w:rPr>
              <w:t xml:space="preserve"> (2016/17)</w:t>
            </w:r>
          </w:p>
          <w:p w:rsidR="00D44DD9" w:rsidRPr="00D44DD9" w:rsidRDefault="00FF2C94"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35.7%</w:t>
            </w:r>
          </w:p>
          <w:p w:rsidR="00D44DD9" w:rsidRPr="00D44DD9" w:rsidRDefault="00D44DD9" w:rsidP="00B45DB9">
            <w:pPr>
              <w:pStyle w:val="ListBullet"/>
              <w:numPr>
                <w:ilvl w:val="0"/>
                <w:numId w:val="0"/>
              </w:numPr>
              <w:tabs>
                <w:tab w:val="left" w:pos="720"/>
              </w:tabs>
              <w:jc w:val="center"/>
              <w:rPr>
                <w:rFonts w:ascii="Arial" w:hAnsi="Arial" w:cs="Arial"/>
                <w:sz w:val="22"/>
                <w:szCs w:val="22"/>
              </w:rPr>
            </w:pPr>
            <w:r w:rsidRPr="00D44DD9">
              <w:rPr>
                <w:rFonts w:ascii="Arial" w:hAnsi="Arial" w:cs="Arial"/>
                <w:sz w:val="22"/>
                <w:szCs w:val="22"/>
              </w:rPr>
              <w:t>South Lanarkshire Average</w:t>
            </w:r>
          </w:p>
          <w:p w:rsidR="00D44DD9" w:rsidRPr="00D44DD9" w:rsidRDefault="00D44DD9" w:rsidP="00B45DB9">
            <w:pPr>
              <w:pStyle w:val="ListBullet"/>
              <w:numPr>
                <w:ilvl w:val="0"/>
                <w:numId w:val="0"/>
              </w:numPr>
              <w:tabs>
                <w:tab w:val="left" w:pos="720"/>
              </w:tabs>
              <w:jc w:val="center"/>
              <w:rPr>
                <w:rFonts w:ascii="Arial" w:hAnsi="Arial" w:cs="Arial"/>
                <w:sz w:val="22"/>
                <w:szCs w:val="22"/>
              </w:rPr>
            </w:pPr>
          </w:p>
          <w:p w:rsidR="0010762E" w:rsidRPr="00D44DD9" w:rsidRDefault="0010762E" w:rsidP="00B45DB9">
            <w:pPr>
              <w:pStyle w:val="ListBullet"/>
              <w:numPr>
                <w:ilvl w:val="0"/>
                <w:numId w:val="0"/>
              </w:numPr>
              <w:tabs>
                <w:tab w:val="left" w:pos="720"/>
              </w:tabs>
              <w:jc w:val="center"/>
              <w:rPr>
                <w:rFonts w:ascii="Arial" w:hAnsi="Arial" w:cs="Arial"/>
                <w:sz w:val="22"/>
                <w:szCs w:val="22"/>
              </w:rPr>
            </w:pPr>
            <w:r w:rsidRPr="00D44DD9">
              <w:rPr>
                <w:rFonts w:ascii="Arial" w:hAnsi="Arial" w:cs="Arial"/>
                <w:sz w:val="22"/>
                <w:szCs w:val="22"/>
              </w:rPr>
              <w:t>36.9%</w:t>
            </w:r>
          </w:p>
          <w:p w:rsidR="006336E8" w:rsidRPr="00D44DD9" w:rsidRDefault="006336E8" w:rsidP="00B45DB9">
            <w:pPr>
              <w:pStyle w:val="ListBullet"/>
              <w:numPr>
                <w:ilvl w:val="0"/>
                <w:numId w:val="0"/>
              </w:numPr>
              <w:tabs>
                <w:tab w:val="left" w:pos="720"/>
              </w:tabs>
              <w:jc w:val="center"/>
              <w:rPr>
                <w:rFonts w:ascii="Arial" w:hAnsi="Arial" w:cs="Arial"/>
                <w:sz w:val="22"/>
                <w:szCs w:val="22"/>
              </w:rPr>
            </w:pPr>
            <w:r w:rsidRPr="00D44DD9">
              <w:rPr>
                <w:rFonts w:ascii="Arial" w:hAnsi="Arial" w:cs="Arial"/>
                <w:sz w:val="22"/>
                <w:szCs w:val="22"/>
              </w:rPr>
              <w:t>Scottish Average</w:t>
            </w:r>
          </w:p>
        </w:tc>
        <w:tc>
          <w:tcPr>
            <w:tcW w:w="1843" w:type="dxa"/>
            <w:tcBorders>
              <w:top w:val="single" w:sz="4" w:space="0" w:color="auto"/>
              <w:left w:val="single" w:sz="4" w:space="0" w:color="auto"/>
              <w:bottom w:val="single" w:sz="4" w:space="0" w:color="auto"/>
              <w:right w:val="single" w:sz="4" w:space="0" w:color="auto"/>
            </w:tcBorders>
          </w:tcPr>
          <w:p w:rsidR="00D70657" w:rsidRPr="00D44DD9" w:rsidRDefault="0010762E" w:rsidP="00B45DB9">
            <w:pPr>
              <w:pStyle w:val="ListBullet"/>
              <w:numPr>
                <w:ilvl w:val="0"/>
                <w:numId w:val="0"/>
              </w:numPr>
              <w:tabs>
                <w:tab w:val="left" w:pos="720"/>
              </w:tabs>
              <w:jc w:val="center"/>
              <w:rPr>
                <w:rFonts w:ascii="Arial" w:hAnsi="Arial" w:cs="Arial"/>
                <w:sz w:val="22"/>
                <w:szCs w:val="22"/>
              </w:rPr>
            </w:pPr>
            <w:r w:rsidRPr="00D44DD9">
              <w:rPr>
                <w:rFonts w:ascii="Arial" w:hAnsi="Arial" w:cs="Arial"/>
                <w:sz w:val="22"/>
                <w:szCs w:val="22"/>
              </w:rPr>
              <w:t xml:space="preserve"> </w:t>
            </w:r>
            <w:r w:rsidR="00D70657" w:rsidRPr="00D44DD9">
              <w:rPr>
                <w:rFonts w:ascii="Arial" w:hAnsi="Arial" w:cs="Arial"/>
                <w:sz w:val="22"/>
                <w:szCs w:val="22"/>
              </w:rPr>
              <w:t>(2016/17)</w:t>
            </w:r>
          </w:p>
          <w:p w:rsidR="0010762E" w:rsidRPr="00D44DD9" w:rsidRDefault="0010762E" w:rsidP="0010762E">
            <w:pPr>
              <w:pStyle w:val="ListBullet"/>
              <w:numPr>
                <w:ilvl w:val="0"/>
                <w:numId w:val="0"/>
              </w:numPr>
              <w:tabs>
                <w:tab w:val="left" w:pos="720"/>
              </w:tabs>
              <w:jc w:val="center"/>
              <w:rPr>
                <w:rFonts w:ascii="Arial" w:hAnsi="Arial" w:cs="Arial"/>
                <w:sz w:val="22"/>
                <w:szCs w:val="22"/>
              </w:rPr>
            </w:pPr>
            <w:r w:rsidRPr="00D44DD9">
              <w:rPr>
                <w:rFonts w:ascii="Arial" w:hAnsi="Arial" w:cs="Arial"/>
                <w:sz w:val="22"/>
                <w:szCs w:val="22"/>
              </w:rPr>
              <w:t xml:space="preserve">35.7 </w:t>
            </w:r>
          </w:p>
          <w:p w:rsidR="0010762E" w:rsidRPr="00D44DD9" w:rsidRDefault="0010762E" w:rsidP="00B45DB9">
            <w:pPr>
              <w:pStyle w:val="ListBullet"/>
              <w:numPr>
                <w:ilvl w:val="0"/>
                <w:numId w:val="0"/>
              </w:numPr>
              <w:tabs>
                <w:tab w:val="left" w:pos="720"/>
              </w:tabs>
              <w:jc w:val="center"/>
              <w:rPr>
                <w:rFonts w:ascii="Arial" w:hAnsi="Arial" w:cs="Arial"/>
                <w:sz w:val="22"/>
                <w:szCs w:val="22"/>
              </w:rPr>
            </w:pPr>
          </w:p>
        </w:tc>
        <w:tc>
          <w:tcPr>
            <w:tcW w:w="2079" w:type="dxa"/>
            <w:tcBorders>
              <w:top w:val="single" w:sz="4" w:space="0" w:color="auto"/>
              <w:left w:val="single" w:sz="4" w:space="0" w:color="auto"/>
              <w:bottom w:val="single" w:sz="4" w:space="0" w:color="auto"/>
              <w:right w:val="single" w:sz="4" w:space="0" w:color="auto"/>
            </w:tcBorders>
          </w:tcPr>
          <w:p w:rsidR="00D70657" w:rsidRPr="00763BD7" w:rsidRDefault="00D70657" w:rsidP="00D70657">
            <w:pPr>
              <w:pStyle w:val="ListBullet"/>
              <w:numPr>
                <w:ilvl w:val="0"/>
                <w:numId w:val="0"/>
              </w:numPr>
              <w:tabs>
                <w:tab w:val="left" w:pos="720"/>
              </w:tabs>
              <w:jc w:val="center"/>
              <w:rPr>
                <w:rFonts w:ascii="Arial" w:hAnsi="Arial" w:cs="Arial"/>
                <w:sz w:val="22"/>
                <w:szCs w:val="22"/>
              </w:rPr>
            </w:pPr>
            <w:r>
              <w:rPr>
                <w:rFonts w:ascii="Arial" w:hAnsi="Arial" w:cs="Arial"/>
                <w:sz w:val="22"/>
                <w:szCs w:val="22"/>
              </w:rPr>
              <w:t>Maintain below the Scottish Average (36.9%)</w:t>
            </w:r>
          </w:p>
        </w:tc>
        <w:tc>
          <w:tcPr>
            <w:tcW w:w="1894" w:type="dxa"/>
            <w:tcBorders>
              <w:top w:val="single" w:sz="4" w:space="0" w:color="auto"/>
              <w:left w:val="single" w:sz="4" w:space="0" w:color="auto"/>
              <w:bottom w:val="single" w:sz="4" w:space="0" w:color="auto"/>
              <w:right w:val="single" w:sz="4" w:space="0" w:color="auto"/>
            </w:tcBorders>
          </w:tcPr>
          <w:p w:rsidR="00D70657" w:rsidRPr="00763BD7" w:rsidRDefault="00D70657" w:rsidP="00D70657">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Maintain below the Scottish Average </w:t>
            </w:r>
          </w:p>
        </w:tc>
        <w:tc>
          <w:tcPr>
            <w:tcW w:w="1871" w:type="dxa"/>
            <w:tcBorders>
              <w:top w:val="single" w:sz="4" w:space="0" w:color="auto"/>
              <w:left w:val="single" w:sz="4" w:space="0" w:color="auto"/>
              <w:bottom w:val="single" w:sz="4" w:space="0" w:color="auto"/>
              <w:right w:val="single" w:sz="4" w:space="0" w:color="auto"/>
            </w:tcBorders>
          </w:tcPr>
          <w:p w:rsidR="00D70657" w:rsidRPr="00763BD7" w:rsidRDefault="00D70657" w:rsidP="00D70657">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Maintain below the Scottish Average </w:t>
            </w:r>
          </w:p>
        </w:tc>
      </w:tr>
    </w:tbl>
    <w:p w:rsidR="0054135A" w:rsidRDefault="0054135A">
      <w:r>
        <w:br w:type="page"/>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4"/>
        <w:gridCol w:w="1763"/>
        <w:gridCol w:w="1843"/>
        <w:gridCol w:w="2079"/>
        <w:gridCol w:w="1894"/>
        <w:gridCol w:w="1871"/>
      </w:tblGrid>
      <w:tr w:rsidR="0054135A" w:rsidRPr="00763BD7" w:rsidTr="006D68C3">
        <w:trPr>
          <w:trHeight w:val="344"/>
        </w:trPr>
        <w:tc>
          <w:tcPr>
            <w:tcW w:w="14174"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tcPr>
          <w:p w:rsidR="0054135A" w:rsidRPr="00763BD7" w:rsidRDefault="0054135A" w:rsidP="006D68C3">
            <w:pPr>
              <w:pStyle w:val="ListBullet"/>
              <w:numPr>
                <w:ilvl w:val="0"/>
                <w:numId w:val="0"/>
              </w:numPr>
              <w:tabs>
                <w:tab w:val="left" w:pos="720"/>
              </w:tabs>
              <w:rPr>
                <w:rFonts w:ascii="Arial" w:hAnsi="Arial" w:cs="Arial"/>
                <w:b/>
                <w:sz w:val="22"/>
                <w:szCs w:val="22"/>
              </w:rPr>
            </w:pPr>
            <w:r w:rsidRPr="00763BD7">
              <w:rPr>
                <w:rFonts w:ascii="Arial" w:hAnsi="Arial" w:cs="Arial"/>
                <w:b/>
                <w:sz w:val="22"/>
                <w:szCs w:val="22"/>
              </w:rPr>
              <w:t>We will measure progress towards this priority outcome with reference to the following indicators and targets</w:t>
            </w:r>
          </w:p>
        </w:tc>
      </w:tr>
      <w:tr w:rsidR="0054135A" w:rsidRPr="00763BD7" w:rsidTr="006D68C3">
        <w:tc>
          <w:tcPr>
            <w:tcW w:w="472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4135A" w:rsidRPr="00763BD7" w:rsidRDefault="0054135A" w:rsidP="006D68C3">
            <w:pPr>
              <w:pStyle w:val="ListBullet"/>
              <w:numPr>
                <w:ilvl w:val="0"/>
                <w:numId w:val="0"/>
              </w:numPr>
              <w:tabs>
                <w:tab w:val="left" w:pos="720"/>
              </w:tabs>
              <w:spacing w:line="276" w:lineRule="auto"/>
              <w:jc w:val="center"/>
              <w:rPr>
                <w:rFonts w:ascii="Arial" w:hAnsi="Arial" w:cs="Arial"/>
                <w:b/>
                <w:sz w:val="22"/>
                <w:szCs w:val="22"/>
              </w:rPr>
            </w:pPr>
            <w:r w:rsidRPr="00763BD7">
              <w:rPr>
                <w:rFonts w:ascii="Arial" w:hAnsi="Arial" w:cs="Arial"/>
                <w:b/>
                <w:sz w:val="22"/>
                <w:szCs w:val="22"/>
              </w:rPr>
              <w:t>Indicator(s) and Source</w:t>
            </w:r>
          </w:p>
        </w:tc>
        <w:tc>
          <w:tcPr>
            <w:tcW w:w="176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4135A" w:rsidRPr="00763BD7" w:rsidRDefault="0054135A" w:rsidP="006D68C3">
            <w:pPr>
              <w:pStyle w:val="ListBullet"/>
              <w:numPr>
                <w:ilvl w:val="0"/>
                <w:numId w:val="0"/>
              </w:numPr>
              <w:tabs>
                <w:tab w:val="left" w:pos="720"/>
              </w:tabs>
              <w:spacing w:line="276" w:lineRule="auto"/>
              <w:jc w:val="center"/>
              <w:rPr>
                <w:rFonts w:ascii="Arial" w:hAnsi="Arial" w:cs="Arial"/>
                <w:b/>
                <w:sz w:val="22"/>
                <w:szCs w:val="22"/>
              </w:rPr>
            </w:pPr>
            <w:r w:rsidRPr="00763BD7">
              <w:rPr>
                <w:rFonts w:ascii="Arial" w:hAnsi="Arial" w:cs="Arial"/>
                <w:b/>
                <w:sz w:val="22"/>
                <w:szCs w:val="22"/>
              </w:rPr>
              <w:t>Baseline</w:t>
            </w:r>
          </w:p>
        </w:tc>
        <w:tc>
          <w:tcPr>
            <w:tcW w:w="1843" w:type="dxa"/>
            <w:tcBorders>
              <w:top w:val="single" w:sz="4" w:space="0" w:color="auto"/>
              <w:left w:val="single" w:sz="4" w:space="0" w:color="auto"/>
              <w:right w:val="single" w:sz="4" w:space="0" w:color="auto"/>
            </w:tcBorders>
            <w:shd w:val="clear" w:color="auto" w:fill="D6E3BC" w:themeFill="accent3" w:themeFillTint="66"/>
          </w:tcPr>
          <w:p w:rsidR="0054135A" w:rsidRPr="00763BD7" w:rsidRDefault="0054135A" w:rsidP="006D68C3">
            <w:pPr>
              <w:pStyle w:val="ListBullet"/>
              <w:numPr>
                <w:ilvl w:val="0"/>
                <w:numId w:val="0"/>
              </w:numPr>
              <w:tabs>
                <w:tab w:val="left" w:pos="720"/>
              </w:tabs>
              <w:spacing w:line="276" w:lineRule="auto"/>
              <w:jc w:val="center"/>
              <w:rPr>
                <w:rFonts w:ascii="Arial" w:hAnsi="Arial" w:cs="Arial"/>
                <w:b/>
                <w:sz w:val="22"/>
                <w:szCs w:val="22"/>
              </w:rPr>
            </w:pPr>
            <w:r w:rsidRPr="00763BD7">
              <w:rPr>
                <w:rFonts w:ascii="Arial" w:hAnsi="Arial" w:cs="Arial"/>
                <w:b/>
                <w:sz w:val="22"/>
                <w:szCs w:val="22"/>
              </w:rPr>
              <w:t>Latest figures reported</w:t>
            </w:r>
          </w:p>
        </w:tc>
        <w:tc>
          <w:tcPr>
            <w:tcW w:w="2079" w:type="dxa"/>
            <w:tcBorders>
              <w:top w:val="single" w:sz="4" w:space="0" w:color="auto"/>
              <w:left w:val="single" w:sz="4" w:space="0" w:color="auto"/>
              <w:right w:val="single" w:sz="4" w:space="0" w:color="auto"/>
            </w:tcBorders>
            <w:shd w:val="clear" w:color="auto" w:fill="D6E3BC" w:themeFill="accent3" w:themeFillTint="66"/>
          </w:tcPr>
          <w:p w:rsidR="0054135A" w:rsidRPr="00763BD7" w:rsidRDefault="0054135A" w:rsidP="006D68C3">
            <w:pPr>
              <w:pStyle w:val="ListBullet"/>
              <w:numPr>
                <w:ilvl w:val="0"/>
                <w:numId w:val="0"/>
              </w:numPr>
              <w:tabs>
                <w:tab w:val="left" w:pos="720"/>
              </w:tabs>
              <w:spacing w:line="276" w:lineRule="auto"/>
              <w:jc w:val="center"/>
              <w:rPr>
                <w:rFonts w:ascii="Arial" w:hAnsi="Arial" w:cs="Arial"/>
                <w:b/>
                <w:sz w:val="22"/>
                <w:szCs w:val="22"/>
              </w:rPr>
            </w:pPr>
            <w:r w:rsidRPr="00763BD7">
              <w:rPr>
                <w:rFonts w:ascii="Arial" w:hAnsi="Arial" w:cs="Arial"/>
                <w:b/>
                <w:sz w:val="22"/>
                <w:szCs w:val="22"/>
              </w:rPr>
              <w:t>Short Term Target (1 year)</w:t>
            </w:r>
          </w:p>
        </w:tc>
        <w:tc>
          <w:tcPr>
            <w:tcW w:w="1894" w:type="dxa"/>
            <w:tcBorders>
              <w:top w:val="single" w:sz="4" w:space="0" w:color="auto"/>
              <w:left w:val="single" w:sz="4" w:space="0" w:color="auto"/>
              <w:right w:val="single" w:sz="4" w:space="0" w:color="auto"/>
            </w:tcBorders>
            <w:shd w:val="clear" w:color="auto" w:fill="D6E3BC" w:themeFill="accent3" w:themeFillTint="66"/>
          </w:tcPr>
          <w:p w:rsidR="0054135A" w:rsidRPr="00763BD7" w:rsidRDefault="0054135A" w:rsidP="006D68C3">
            <w:pPr>
              <w:pStyle w:val="ListBullet"/>
              <w:numPr>
                <w:ilvl w:val="0"/>
                <w:numId w:val="0"/>
              </w:numPr>
              <w:tabs>
                <w:tab w:val="left" w:pos="720"/>
              </w:tabs>
              <w:spacing w:line="276" w:lineRule="auto"/>
              <w:jc w:val="center"/>
              <w:rPr>
                <w:rFonts w:ascii="Arial" w:hAnsi="Arial" w:cs="Arial"/>
                <w:b/>
                <w:sz w:val="22"/>
                <w:szCs w:val="22"/>
              </w:rPr>
            </w:pPr>
            <w:r w:rsidRPr="00763BD7">
              <w:rPr>
                <w:rFonts w:ascii="Arial" w:hAnsi="Arial" w:cs="Arial"/>
                <w:b/>
                <w:sz w:val="22"/>
                <w:szCs w:val="22"/>
              </w:rPr>
              <w:t>Medium Term Target (3yr)</w:t>
            </w:r>
          </w:p>
        </w:tc>
        <w:tc>
          <w:tcPr>
            <w:tcW w:w="18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4135A" w:rsidRPr="00763BD7" w:rsidRDefault="0054135A" w:rsidP="006D68C3">
            <w:pPr>
              <w:pStyle w:val="ListBullet"/>
              <w:numPr>
                <w:ilvl w:val="0"/>
                <w:numId w:val="0"/>
              </w:numPr>
              <w:tabs>
                <w:tab w:val="left" w:pos="720"/>
              </w:tabs>
              <w:spacing w:line="276" w:lineRule="auto"/>
              <w:jc w:val="center"/>
              <w:rPr>
                <w:rFonts w:ascii="Arial" w:hAnsi="Arial" w:cs="Arial"/>
                <w:b/>
                <w:sz w:val="22"/>
                <w:szCs w:val="22"/>
              </w:rPr>
            </w:pPr>
            <w:r w:rsidRPr="00763BD7">
              <w:rPr>
                <w:rFonts w:ascii="Arial" w:hAnsi="Arial" w:cs="Arial"/>
                <w:b/>
                <w:sz w:val="22"/>
                <w:szCs w:val="22"/>
              </w:rPr>
              <w:t>Long Term Target</w:t>
            </w:r>
          </w:p>
          <w:p w:rsidR="0054135A" w:rsidRPr="00763BD7" w:rsidRDefault="0054135A" w:rsidP="006D68C3">
            <w:pPr>
              <w:pStyle w:val="ListBullet"/>
              <w:numPr>
                <w:ilvl w:val="0"/>
                <w:numId w:val="0"/>
              </w:numPr>
              <w:tabs>
                <w:tab w:val="left" w:pos="720"/>
              </w:tabs>
              <w:spacing w:line="276" w:lineRule="auto"/>
              <w:jc w:val="center"/>
              <w:rPr>
                <w:rFonts w:ascii="Arial" w:hAnsi="Arial" w:cs="Arial"/>
                <w:b/>
                <w:sz w:val="22"/>
                <w:szCs w:val="22"/>
              </w:rPr>
            </w:pPr>
            <w:r w:rsidRPr="00763BD7">
              <w:rPr>
                <w:rFonts w:ascii="Arial" w:hAnsi="Arial" w:cs="Arial"/>
                <w:b/>
                <w:sz w:val="22"/>
                <w:szCs w:val="22"/>
              </w:rPr>
              <w:t>(10yr)</w:t>
            </w:r>
          </w:p>
        </w:tc>
      </w:tr>
      <w:tr w:rsidR="00E83229" w:rsidRPr="00763BD7" w:rsidTr="0054135A">
        <w:trPr>
          <w:trHeight w:val="525"/>
        </w:trPr>
        <w:tc>
          <w:tcPr>
            <w:tcW w:w="4724" w:type="dxa"/>
            <w:tcBorders>
              <w:top w:val="single" w:sz="4" w:space="0" w:color="auto"/>
              <w:left w:val="single" w:sz="4" w:space="0" w:color="auto"/>
              <w:bottom w:val="single" w:sz="4" w:space="0" w:color="auto"/>
              <w:right w:val="single" w:sz="4" w:space="0" w:color="auto"/>
            </w:tcBorders>
            <w:shd w:val="clear" w:color="auto" w:fill="FFFFFF" w:themeFill="background1"/>
          </w:tcPr>
          <w:p w:rsidR="00E83229" w:rsidRPr="00416FBA" w:rsidRDefault="00E83229" w:rsidP="00B45DB9">
            <w:pPr>
              <w:pStyle w:val="ListBullet"/>
              <w:numPr>
                <w:ilvl w:val="0"/>
                <w:numId w:val="0"/>
              </w:numPr>
              <w:tabs>
                <w:tab w:val="left" w:pos="720"/>
              </w:tabs>
              <w:rPr>
                <w:rFonts w:ascii="Arial" w:hAnsi="Arial" w:cs="Arial"/>
                <w:sz w:val="22"/>
                <w:szCs w:val="22"/>
              </w:rPr>
            </w:pPr>
            <w:r w:rsidRPr="00E5241A">
              <w:rPr>
                <w:rFonts w:ascii="Arial" w:hAnsi="Arial" w:cs="Arial"/>
                <w:b/>
                <w:sz w:val="22"/>
                <w:szCs w:val="22"/>
              </w:rPr>
              <w:t>Reduce</w:t>
            </w:r>
            <w:r w:rsidRPr="00416FBA">
              <w:rPr>
                <w:rFonts w:ascii="Arial" w:hAnsi="Arial" w:cs="Arial"/>
                <w:sz w:val="22"/>
                <w:szCs w:val="22"/>
              </w:rPr>
              <w:t xml:space="preserve"> the proportion of the population being prescribed drugs for anxiety, depression or psychosis</w:t>
            </w:r>
          </w:p>
          <w:p w:rsidR="00E83229" w:rsidRPr="00416FBA" w:rsidRDefault="00E83229" w:rsidP="00B45DB9">
            <w:pPr>
              <w:pStyle w:val="ListBullet"/>
              <w:numPr>
                <w:ilvl w:val="0"/>
                <w:numId w:val="0"/>
              </w:numPr>
              <w:tabs>
                <w:tab w:val="left" w:pos="720"/>
              </w:tabs>
              <w:rPr>
                <w:rFonts w:ascii="Arial" w:hAnsi="Arial" w:cs="Arial"/>
                <w:sz w:val="22"/>
                <w:szCs w:val="22"/>
              </w:rPr>
            </w:pPr>
          </w:p>
          <w:p w:rsidR="00E83229" w:rsidRPr="00416FBA" w:rsidRDefault="00791935" w:rsidP="00DE5F72">
            <w:pPr>
              <w:pStyle w:val="ListBullet"/>
              <w:numPr>
                <w:ilvl w:val="0"/>
                <w:numId w:val="0"/>
              </w:numPr>
              <w:tabs>
                <w:tab w:val="left" w:pos="720"/>
              </w:tabs>
              <w:rPr>
                <w:rFonts w:ascii="Arial" w:hAnsi="Arial" w:cs="Arial"/>
                <w:sz w:val="22"/>
                <w:szCs w:val="22"/>
              </w:rPr>
            </w:pPr>
            <w:r w:rsidRPr="00416FBA">
              <w:rPr>
                <w:rFonts w:ascii="Arial" w:hAnsi="Arial" w:cs="Arial"/>
                <w:b/>
                <w:sz w:val="22"/>
                <w:szCs w:val="22"/>
              </w:rPr>
              <w:t xml:space="preserve">Source: </w:t>
            </w:r>
            <w:r w:rsidR="00416FBA" w:rsidRPr="00416FBA">
              <w:rPr>
                <w:rFonts w:ascii="Arial" w:hAnsi="Arial" w:cs="Arial"/>
                <w:b/>
                <w:sz w:val="22"/>
                <w:szCs w:val="22"/>
              </w:rPr>
              <w:t>NEXUS</w:t>
            </w:r>
            <w:r w:rsidR="006D68C3">
              <w:rPr>
                <w:rFonts w:ascii="Arial" w:hAnsi="Arial" w:cs="Arial"/>
                <w:b/>
                <w:sz w:val="22"/>
                <w:szCs w:val="22"/>
              </w:rPr>
              <w:t xml:space="preserve"> </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10762E" w:rsidRPr="00D44DD9" w:rsidRDefault="0010762E" w:rsidP="0010762E">
            <w:pPr>
              <w:pStyle w:val="ListBullet"/>
              <w:numPr>
                <w:ilvl w:val="0"/>
                <w:numId w:val="0"/>
              </w:numPr>
              <w:tabs>
                <w:tab w:val="left" w:pos="720"/>
              </w:tabs>
              <w:jc w:val="center"/>
              <w:rPr>
                <w:rFonts w:ascii="Arial" w:hAnsi="Arial" w:cs="Arial"/>
                <w:sz w:val="22"/>
                <w:szCs w:val="22"/>
              </w:rPr>
            </w:pPr>
            <w:r w:rsidRPr="00D44DD9">
              <w:rPr>
                <w:rFonts w:ascii="Arial" w:hAnsi="Arial" w:cs="Arial"/>
                <w:sz w:val="22"/>
                <w:szCs w:val="22"/>
              </w:rPr>
              <w:t>(2016/17)</w:t>
            </w:r>
          </w:p>
          <w:p w:rsidR="00D44DD9" w:rsidRPr="00D44DD9" w:rsidRDefault="00D44DD9" w:rsidP="0010762E">
            <w:pPr>
              <w:pStyle w:val="ListBullet"/>
              <w:numPr>
                <w:ilvl w:val="0"/>
                <w:numId w:val="0"/>
              </w:numPr>
              <w:tabs>
                <w:tab w:val="left" w:pos="720"/>
              </w:tabs>
              <w:jc w:val="center"/>
              <w:rPr>
                <w:rFonts w:ascii="Arial" w:hAnsi="Arial" w:cs="Arial"/>
                <w:sz w:val="22"/>
                <w:szCs w:val="22"/>
              </w:rPr>
            </w:pPr>
            <w:r w:rsidRPr="00D44DD9">
              <w:rPr>
                <w:rFonts w:ascii="Arial" w:hAnsi="Arial" w:cs="Arial"/>
                <w:sz w:val="22"/>
                <w:szCs w:val="22"/>
              </w:rPr>
              <w:t>21.4</w:t>
            </w:r>
            <w:r w:rsidR="00FF2C94">
              <w:rPr>
                <w:rFonts w:ascii="Arial" w:hAnsi="Arial" w:cs="Arial"/>
                <w:sz w:val="22"/>
                <w:szCs w:val="22"/>
              </w:rPr>
              <w:t>%</w:t>
            </w:r>
            <w:r w:rsidRPr="00D44DD9">
              <w:rPr>
                <w:rFonts w:ascii="Arial" w:hAnsi="Arial" w:cs="Arial"/>
                <w:sz w:val="22"/>
                <w:szCs w:val="22"/>
              </w:rPr>
              <w:t xml:space="preserve"> </w:t>
            </w:r>
          </w:p>
          <w:p w:rsidR="00D44DD9" w:rsidRPr="00D44DD9" w:rsidRDefault="00D44DD9" w:rsidP="0010762E">
            <w:pPr>
              <w:pStyle w:val="ListBullet"/>
              <w:numPr>
                <w:ilvl w:val="0"/>
                <w:numId w:val="0"/>
              </w:numPr>
              <w:tabs>
                <w:tab w:val="left" w:pos="720"/>
              </w:tabs>
              <w:jc w:val="center"/>
              <w:rPr>
                <w:rFonts w:ascii="Arial" w:hAnsi="Arial" w:cs="Arial"/>
                <w:sz w:val="22"/>
                <w:szCs w:val="22"/>
              </w:rPr>
            </w:pPr>
            <w:r w:rsidRPr="00D44DD9">
              <w:rPr>
                <w:rFonts w:ascii="Arial" w:hAnsi="Arial" w:cs="Arial"/>
                <w:sz w:val="22"/>
                <w:szCs w:val="22"/>
              </w:rPr>
              <w:t>South Lanarkshire Average</w:t>
            </w:r>
          </w:p>
          <w:p w:rsidR="00D44DD9" w:rsidRPr="00D44DD9" w:rsidRDefault="00D44DD9" w:rsidP="0010762E">
            <w:pPr>
              <w:pStyle w:val="ListBullet"/>
              <w:numPr>
                <w:ilvl w:val="0"/>
                <w:numId w:val="0"/>
              </w:numPr>
              <w:tabs>
                <w:tab w:val="left" w:pos="720"/>
              </w:tabs>
              <w:jc w:val="center"/>
              <w:rPr>
                <w:rFonts w:ascii="Arial" w:hAnsi="Arial" w:cs="Arial"/>
                <w:sz w:val="22"/>
                <w:szCs w:val="22"/>
              </w:rPr>
            </w:pPr>
          </w:p>
          <w:p w:rsidR="0010762E" w:rsidRPr="00D44DD9" w:rsidRDefault="00E5241A" w:rsidP="0010762E">
            <w:pPr>
              <w:pStyle w:val="ListBullet"/>
              <w:numPr>
                <w:ilvl w:val="0"/>
                <w:numId w:val="0"/>
              </w:numPr>
              <w:tabs>
                <w:tab w:val="left" w:pos="720"/>
              </w:tabs>
              <w:jc w:val="center"/>
              <w:rPr>
                <w:rFonts w:ascii="Arial" w:hAnsi="Arial" w:cs="Arial"/>
                <w:sz w:val="22"/>
                <w:szCs w:val="22"/>
              </w:rPr>
            </w:pPr>
            <w:r w:rsidRPr="00D44DD9">
              <w:rPr>
                <w:rFonts w:ascii="Arial" w:hAnsi="Arial" w:cs="Arial"/>
                <w:sz w:val="22"/>
                <w:szCs w:val="22"/>
              </w:rPr>
              <w:t xml:space="preserve">18.5% </w:t>
            </w:r>
          </w:p>
          <w:p w:rsidR="00791935" w:rsidRPr="00D44DD9" w:rsidRDefault="00E5241A" w:rsidP="0010762E">
            <w:pPr>
              <w:pStyle w:val="ListBullet"/>
              <w:numPr>
                <w:ilvl w:val="0"/>
                <w:numId w:val="0"/>
              </w:numPr>
              <w:tabs>
                <w:tab w:val="left" w:pos="720"/>
              </w:tabs>
              <w:jc w:val="center"/>
              <w:rPr>
                <w:rFonts w:ascii="Arial" w:hAnsi="Arial" w:cs="Arial"/>
                <w:sz w:val="22"/>
                <w:szCs w:val="22"/>
              </w:rPr>
            </w:pPr>
            <w:r w:rsidRPr="00D44DD9">
              <w:rPr>
                <w:rFonts w:ascii="Arial" w:hAnsi="Arial" w:cs="Arial"/>
                <w:sz w:val="22"/>
                <w:szCs w:val="22"/>
              </w:rPr>
              <w:t xml:space="preserve">Scottish Average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3229" w:rsidRPr="00D44DD9" w:rsidRDefault="0010762E" w:rsidP="00B45DB9">
            <w:pPr>
              <w:pStyle w:val="ListBullet"/>
              <w:numPr>
                <w:ilvl w:val="0"/>
                <w:numId w:val="0"/>
              </w:numPr>
              <w:tabs>
                <w:tab w:val="left" w:pos="720"/>
              </w:tabs>
              <w:jc w:val="center"/>
              <w:rPr>
                <w:rFonts w:ascii="Arial" w:hAnsi="Arial" w:cs="Arial"/>
                <w:sz w:val="22"/>
                <w:szCs w:val="22"/>
              </w:rPr>
            </w:pPr>
            <w:r w:rsidRPr="00D44DD9">
              <w:rPr>
                <w:rFonts w:ascii="Arial" w:hAnsi="Arial" w:cs="Arial"/>
                <w:sz w:val="22"/>
                <w:szCs w:val="22"/>
              </w:rPr>
              <w:t xml:space="preserve"> </w:t>
            </w:r>
            <w:r w:rsidR="00416FBA" w:rsidRPr="00D44DD9">
              <w:rPr>
                <w:rFonts w:ascii="Arial" w:hAnsi="Arial" w:cs="Arial"/>
                <w:sz w:val="22"/>
                <w:szCs w:val="22"/>
              </w:rPr>
              <w:t>(2016/17</w:t>
            </w:r>
            <w:r w:rsidR="00E83229" w:rsidRPr="00D44DD9">
              <w:rPr>
                <w:rFonts w:ascii="Arial" w:hAnsi="Arial" w:cs="Arial"/>
                <w:sz w:val="22"/>
                <w:szCs w:val="22"/>
              </w:rPr>
              <w:t>)</w:t>
            </w:r>
          </w:p>
          <w:p w:rsidR="0010762E" w:rsidRPr="00D44DD9" w:rsidRDefault="0010762E" w:rsidP="0010762E">
            <w:pPr>
              <w:pStyle w:val="ListBullet"/>
              <w:numPr>
                <w:ilvl w:val="0"/>
                <w:numId w:val="0"/>
              </w:numPr>
              <w:tabs>
                <w:tab w:val="left" w:pos="720"/>
              </w:tabs>
              <w:jc w:val="center"/>
              <w:rPr>
                <w:rFonts w:ascii="Arial" w:hAnsi="Arial" w:cs="Arial"/>
                <w:sz w:val="22"/>
                <w:szCs w:val="22"/>
              </w:rPr>
            </w:pPr>
            <w:r w:rsidRPr="00D44DD9">
              <w:rPr>
                <w:rFonts w:ascii="Arial" w:hAnsi="Arial" w:cs="Arial"/>
                <w:sz w:val="22"/>
                <w:szCs w:val="22"/>
              </w:rPr>
              <w:t xml:space="preserve">21.4% </w:t>
            </w:r>
          </w:p>
          <w:p w:rsidR="0010762E" w:rsidRPr="00D44DD9" w:rsidRDefault="0010762E" w:rsidP="00B45DB9">
            <w:pPr>
              <w:pStyle w:val="ListBullet"/>
              <w:numPr>
                <w:ilvl w:val="0"/>
                <w:numId w:val="0"/>
              </w:numPr>
              <w:tabs>
                <w:tab w:val="left" w:pos="720"/>
              </w:tabs>
              <w:jc w:val="center"/>
              <w:rPr>
                <w:rFonts w:ascii="Arial" w:hAnsi="Arial" w:cs="Arial"/>
                <w:sz w:val="22"/>
                <w:szCs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E83229" w:rsidRPr="00416FBA" w:rsidRDefault="00791935" w:rsidP="00791935">
            <w:pPr>
              <w:pStyle w:val="ListBullet"/>
              <w:numPr>
                <w:ilvl w:val="0"/>
                <w:numId w:val="0"/>
              </w:numPr>
              <w:tabs>
                <w:tab w:val="left" w:pos="720"/>
              </w:tabs>
              <w:jc w:val="center"/>
              <w:rPr>
                <w:rFonts w:ascii="Arial" w:hAnsi="Arial" w:cs="Arial"/>
                <w:sz w:val="22"/>
                <w:szCs w:val="22"/>
              </w:rPr>
            </w:pPr>
            <w:r w:rsidRPr="00416FBA">
              <w:rPr>
                <w:rFonts w:ascii="Arial" w:hAnsi="Arial" w:cs="Arial"/>
                <w:sz w:val="22"/>
                <w:szCs w:val="22"/>
              </w:rPr>
              <w:t>Reduce by 0.5</w:t>
            </w:r>
            <w:r w:rsidR="00E83229" w:rsidRPr="00416FBA">
              <w:rPr>
                <w:rFonts w:ascii="Arial" w:hAnsi="Arial" w:cs="Arial"/>
                <w:sz w:val="22"/>
                <w:szCs w:val="22"/>
              </w:rPr>
              <w:t>%</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E83229" w:rsidRPr="00416FBA" w:rsidRDefault="00E83229" w:rsidP="00791935">
            <w:pPr>
              <w:pStyle w:val="ListBullet"/>
              <w:numPr>
                <w:ilvl w:val="0"/>
                <w:numId w:val="0"/>
              </w:numPr>
              <w:tabs>
                <w:tab w:val="left" w:pos="720"/>
              </w:tabs>
              <w:jc w:val="center"/>
              <w:rPr>
                <w:rFonts w:ascii="Arial" w:hAnsi="Arial" w:cs="Arial"/>
                <w:sz w:val="22"/>
                <w:szCs w:val="22"/>
              </w:rPr>
            </w:pPr>
            <w:r w:rsidRPr="00416FBA">
              <w:rPr>
                <w:rFonts w:ascii="Arial" w:hAnsi="Arial" w:cs="Arial"/>
                <w:sz w:val="22"/>
                <w:szCs w:val="22"/>
              </w:rPr>
              <w:t xml:space="preserve">Reduce </w:t>
            </w:r>
            <w:r w:rsidR="00416FBA" w:rsidRPr="00416FBA">
              <w:rPr>
                <w:rFonts w:ascii="Arial" w:hAnsi="Arial" w:cs="Arial"/>
                <w:sz w:val="22"/>
                <w:szCs w:val="22"/>
              </w:rPr>
              <w:t>by 0.5</w:t>
            </w:r>
            <w:r w:rsidRPr="00416FBA">
              <w:rPr>
                <w:rFonts w:ascii="Arial" w:hAnsi="Arial" w:cs="Arial"/>
                <w:sz w:val="22"/>
                <w:szCs w:val="22"/>
              </w:rPr>
              <w:t>%</w:t>
            </w:r>
          </w:p>
        </w:tc>
        <w:tc>
          <w:tcPr>
            <w:tcW w:w="1871" w:type="dxa"/>
            <w:tcBorders>
              <w:top w:val="single" w:sz="4" w:space="0" w:color="auto"/>
              <w:left w:val="single" w:sz="4" w:space="0" w:color="auto"/>
              <w:bottom w:val="single" w:sz="4" w:space="0" w:color="auto"/>
              <w:right w:val="single" w:sz="4" w:space="0" w:color="auto"/>
            </w:tcBorders>
            <w:shd w:val="clear" w:color="auto" w:fill="auto"/>
          </w:tcPr>
          <w:p w:rsidR="00E83229" w:rsidRPr="00416FBA" w:rsidRDefault="00E83229" w:rsidP="00E5241A">
            <w:pPr>
              <w:pStyle w:val="ListBullet"/>
              <w:numPr>
                <w:ilvl w:val="0"/>
                <w:numId w:val="0"/>
              </w:numPr>
              <w:tabs>
                <w:tab w:val="left" w:pos="720"/>
              </w:tabs>
              <w:jc w:val="center"/>
              <w:rPr>
                <w:rFonts w:ascii="Arial" w:hAnsi="Arial" w:cs="Arial"/>
                <w:sz w:val="22"/>
                <w:szCs w:val="22"/>
              </w:rPr>
            </w:pPr>
            <w:r w:rsidRPr="00416FBA">
              <w:rPr>
                <w:rFonts w:ascii="Arial" w:hAnsi="Arial" w:cs="Arial"/>
                <w:sz w:val="22"/>
                <w:szCs w:val="22"/>
              </w:rPr>
              <w:t>Reduce to Scottish Ave</w:t>
            </w:r>
            <w:r w:rsidR="00236DEC">
              <w:rPr>
                <w:rFonts w:ascii="Arial" w:hAnsi="Arial" w:cs="Arial"/>
                <w:sz w:val="22"/>
                <w:szCs w:val="22"/>
              </w:rPr>
              <w:t>rage</w:t>
            </w:r>
            <w:r w:rsidR="00416FBA" w:rsidRPr="00416FBA">
              <w:rPr>
                <w:rFonts w:ascii="Arial" w:hAnsi="Arial" w:cs="Arial"/>
                <w:sz w:val="22"/>
                <w:szCs w:val="22"/>
              </w:rPr>
              <w:t xml:space="preserve"> </w:t>
            </w:r>
          </w:p>
        </w:tc>
      </w:tr>
      <w:tr w:rsidR="00791935" w:rsidRPr="00763BD7" w:rsidTr="0054135A">
        <w:trPr>
          <w:trHeight w:val="525"/>
        </w:trPr>
        <w:tc>
          <w:tcPr>
            <w:tcW w:w="4724" w:type="dxa"/>
            <w:tcBorders>
              <w:top w:val="single" w:sz="4" w:space="0" w:color="auto"/>
              <w:left w:val="single" w:sz="4" w:space="0" w:color="auto"/>
              <w:bottom w:val="single" w:sz="4" w:space="0" w:color="auto"/>
              <w:right w:val="single" w:sz="4" w:space="0" w:color="auto"/>
            </w:tcBorders>
            <w:shd w:val="clear" w:color="auto" w:fill="FFFFFF" w:themeFill="background1"/>
          </w:tcPr>
          <w:p w:rsidR="009470B8" w:rsidRDefault="00BC776D" w:rsidP="00B45DB9">
            <w:pPr>
              <w:pStyle w:val="ListBullet"/>
              <w:numPr>
                <w:ilvl w:val="0"/>
                <w:numId w:val="0"/>
              </w:numPr>
              <w:tabs>
                <w:tab w:val="left" w:pos="720"/>
              </w:tabs>
              <w:rPr>
                <w:rFonts w:ascii="Arial" w:hAnsi="Arial" w:cs="Arial"/>
                <w:sz w:val="22"/>
                <w:szCs w:val="22"/>
              </w:rPr>
            </w:pPr>
            <w:r w:rsidRPr="00E5241A">
              <w:rPr>
                <w:rFonts w:ascii="Arial" w:hAnsi="Arial" w:cs="Arial"/>
                <w:b/>
                <w:sz w:val="22"/>
                <w:szCs w:val="22"/>
              </w:rPr>
              <w:t>Maintain</w:t>
            </w:r>
            <w:r>
              <w:rPr>
                <w:rFonts w:ascii="Arial" w:hAnsi="Arial" w:cs="Arial"/>
                <w:sz w:val="22"/>
                <w:szCs w:val="22"/>
              </w:rPr>
              <w:t xml:space="preserve"> the percentage of c</w:t>
            </w:r>
            <w:r w:rsidR="00791935" w:rsidRPr="00763BD7">
              <w:rPr>
                <w:rFonts w:ascii="Arial" w:hAnsi="Arial" w:cs="Arial"/>
                <w:sz w:val="22"/>
                <w:szCs w:val="22"/>
              </w:rPr>
              <w:t>lients wait</w:t>
            </w:r>
            <w:r>
              <w:rPr>
                <w:rFonts w:ascii="Arial" w:hAnsi="Arial" w:cs="Arial"/>
                <w:sz w:val="22"/>
                <w:szCs w:val="22"/>
              </w:rPr>
              <w:t>ing</w:t>
            </w:r>
            <w:r w:rsidR="00791935" w:rsidRPr="00763BD7">
              <w:rPr>
                <w:rFonts w:ascii="Arial" w:hAnsi="Arial" w:cs="Arial"/>
                <w:sz w:val="22"/>
                <w:szCs w:val="22"/>
              </w:rPr>
              <w:t xml:space="preserve"> no longer than 3 weeks from referral received to appropriate drug or alcohol treatment that supports their recovery</w:t>
            </w:r>
          </w:p>
          <w:p w:rsidR="009470B8" w:rsidRDefault="009470B8" w:rsidP="00B45DB9">
            <w:pPr>
              <w:pStyle w:val="ListBullet"/>
              <w:numPr>
                <w:ilvl w:val="0"/>
                <w:numId w:val="0"/>
              </w:numPr>
              <w:tabs>
                <w:tab w:val="left" w:pos="720"/>
              </w:tabs>
              <w:rPr>
                <w:rFonts w:ascii="Arial" w:hAnsi="Arial" w:cs="Arial"/>
                <w:b/>
                <w:sz w:val="22"/>
                <w:szCs w:val="22"/>
              </w:rPr>
            </w:pPr>
          </w:p>
          <w:p w:rsidR="00BC776D" w:rsidRPr="00BC776D" w:rsidRDefault="00BC776D" w:rsidP="00B45DB9">
            <w:pPr>
              <w:pStyle w:val="ListBullet"/>
              <w:numPr>
                <w:ilvl w:val="0"/>
                <w:numId w:val="0"/>
              </w:numPr>
              <w:tabs>
                <w:tab w:val="left" w:pos="720"/>
              </w:tabs>
              <w:rPr>
                <w:rFonts w:ascii="Arial" w:hAnsi="Arial" w:cs="Arial"/>
                <w:b/>
                <w:sz w:val="22"/>
                <w:szCs w:val="22"/>
              </w:rPr>
            </w:pPr>
            <w:r w:rsidRPr="00BC776D">
              <w:rPr>
                <w:rFonts w:ascii="Arial" w:hAnsi="Arial" w:cs="Arial"/>
                <w:b/>
                <w:sz w:val="22"/>
                <w:szCs w:val="22"/>
              </w:rPr>
              <w:t>Source: SW Resource Plan</w:t>
            </w:r>
          </w:p>
        </w:tc>
        <w:tc>
          <w:tcPr>
            <w:tcW w:w="1763" w:type="dxa"/>
            <w:tcBorders>
              <w:top w:val="single" w:sz="4" w:space="0" w:color="auto"/>
              <w:left w:val="single" w:sz="4" w:space="0" w:color="auto"/>
              <w:bottom w:val="single" w:sz="4" w:space="0" w:color="auto"/>
              <w:right w:val="single" w:sz="4" w:space="0" w:color="auto"/>
            </w:tcBorders>
          </w:tcPr>
          <w:p w:rsidR="00791935" w:rsidRDefault="00BC776D"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 (2016/17)</w:t>
            </w:r>
          </w:p>
          <w:p w:rsidR="0010762E" w:rsidRPr="00763BD7" w:rsidRDefault="0010762E"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100%</w:t>
            </w:r>
          </w:p>
        </w:tc>
        <w:tc>
          <w:tcPr>
            <w:tcW w:w="1843" w:type="dxa"/>
            <w:tcBorders>
              <w:top w:val="single" w:sz="4" w:space="0" w:color="auto"/>
              <w:left w:val="single" w:sz="4" w:space="0" w:color="auto"/>
              <w:bottom w:val="single" w:sz="4" w:space="0" w:color="auto"/>
              <w:right w:val="single" w:sz="4" w:space="0" w:color="auto"/>
            </w:tcBorders>
          </w:tcPr>
          <w:p w:rsidR="00791935" w:rsidRDefault="0010762E" w:rsidP="00BC776D">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 </w:t>
            </w:r>
            <w:r w:rsidR="00A42753">
              <w:rPr>
                <w:rFonts w:ascii="Arial" w:hAnsi="Arial" w:cs="Arial"/>
                <w:sz w:val="22"/>
                <w:szCs w:val="22"/>
              </w:rPr>
              <w:t>(201</w:t>
            </w:r>
            <w:r w:rsidR="006E1F8B">
              <w:rPr>
                <w:rFonts w:ascii="Arial" w:hAnsi="Arial" w:cs="Arial"/>
                <w:sz w:val="22"/>
                <w:szCs w:val="22"/>
              </w:rPr>
              <w:t>7/18</w:t>
            </w:r>
            <w:r w:rsidR="00A42753">
              <w:rPr>
                <w:rFonts w:ascii="Arial" w:hAnsi="Arial" w:cs="Arial"/>
                <w:sz w:val="22"/>
                <w:szCs w:val="22"/>
              </w:rPr>
              <w:t>)</w:t>
            </w:r>
          </w:p>
          <w:p w:rsidR="0010762E" w:rsidRPr="00763BD7" w:rsidRDefault="006E1F8B" w:rsidP="00BC776D">
            <w:pPr>
              <w:pStyle w:val="ListBullet"/>
              <w:numPr>
                <w:ilvl w:val="0"/>
                <w:numId w:val="0"/>
              </w:numPr>
              <w:tabs>
                <w:tab w:val="left" w:pos="720"/>
              </w:tabs>
              <w:jc w:val="center"/>
              <w:rPr>
                <w:rFonts w:ascii="Arial" w:hAnsi="Arial" w:cs="Arial"/>
                <w:sz w:val="22"/>
                <w:szCs w:val="22"/>
              </w:rPr>
            </w:pPr>
            <w:r>
              <w:rPr>
                <w:rFonts w:ascii="Arial" w:hAnsi="Arial" w:cs="Arial"/>
                <w:sz w:val="22"/>
                <w:szCs w:val="22"/>
              </w:rPr>
              <w:t>94.2</w:t>
            </w:r>
            <w:r w:rsidR="0010762E">
              <w:rPr>
                <w:rFonts w:ascii="Arial" w:hAnsi="Arial" w:cs="Arial"/>
                <w:sz w:val="22"/>
                <w:szCs w:val="22"/>
              </w:rPr>
              <w:t>%</w:t>
            </w:r>
          </w:p>
        </w:tc>
        <w:tc>
          <w:tcPr>
            <w:tcW w:w="2079" w:type="dxa"/>
            <w:tcBorders>
              <w:top w:val="single" w:sz="4" w:space="0" w:color="auto"/>
              <w:left w:val="single" w:sz="4" w:space="0" w:color="auto"/>
              <w:bottom w:val="single" w:sz="4" w:space="0" w:color="auto"/>
              <w:right w:val="single" w:sz="4" w:space="0" w:color="auto"/>
            </w:tcBorders>
          </w:tcPr>
          <w:p w:rsidR="00791935" w:rsidRPr="00763BD7" w:rsidRDefault="00791935" w:rsidP="00B45DB9">
            <w:pPr>
              <w:pStyle w:val="ListBullet"/>
              <w:numPr>
                <w:ilvl w:val="0"/>
                <w:numId w:val="0"/>
              </w:numPr>
              <w:tabs>
                <w:tab w:val="left" w:pos="720"/>
              </w:tabs>
              <w:jc w:val="center"/>
              <w:rPr>
                <w:rFonts w:ascii="Arial" w:hAnsi="Arial" w:cs="Arial"/>
                <w:sz w:val="22"/>
                <w:szCs w:val="22"/>
              </w:rPr>
            </w:pPr>
            <w:r w:rsidRPr="00763BD7">
              <w:rPr>
                <w:rFonts w:ascii="Arial" w:hAnsi="Arial" w:cs="Arial"/>
                <w:sz w:val="22"/>
                <w:szCs w:val="22"/>
              </w:rPr>
              <w:t>Maintain</w:t>
            </w:r>
          </w:p>
        </w:tc>
        <w:tc>
          <w:tcPr>
            <w:tcW w:w="1894" w:type="dxa"/>
            <w:tcBorders>
              <w:top w:val="single" w:sz="4" w:space="0" w:color="auto"/>
              <w:left w:val="single" w:sz="4" w:space="0" w:color="auto"/>
              <w:bottom w:val="single" w:sz="4" w:space="0" w:color="auto"/>
              <w:right w:val="single" w:sz="4" w:space="0" w:color="auto"/>
            </w:tcBorders>
          </w:tcPr>
          <w:p w:rsidR="00791935" w:rsidRPr="00763BD7" w:rsidRDefault="00791935" w:rsidP="00B45DB9">
            <w:pPr>
              <w:pStyle w:val="ListBullet"/>
              <w:numPr>
                <w:ilvl w:val="0"/>
                <w:numId w:val="0"/>
              </w:numPr>
              <w:tabs>
                <w:tab w:val="left" w:pos="720"/>
              </w:tabs>
              <w:jc w:val="center"/>
              <w:rPr>
                <w:rFonts w:ascii="Arial" w:hAnsi="Arial" w:cs="Arial"/>
                <w:sz w:val="22"/>
                <w:szCs w:val="22"/>
              </w:rPr>
            </w:pPr>
            <w:r w:rsidRPr="00763BD7">
              <w:rPr>
                <w:rFonts w:ascii="Arial" w:hAnsi="Arial" w:cs="Arial"/>
                <w:sz w:val="22"/>
                <w:szCs w:val="22"/>
              </w:rPr>
              <w:t>Maintain</w:t>
            </w:r>
          </w:p>
        </w:tc>
        <w:tc>
          <w:tcPr>
            <w:tcW w:w="1871" w:type="dxa"/>
            <w:tcBorders>
              <w:top w:val="single" w:sz="4" w:space="0" w:color="auto"/>
              <w:left w:val="single" w:sz="4" w:space="0" w:color="auto"/>
              <w:bottom w:val="single" w:sz="4" w:space="0" w:color="auto"/>
              <w:right w:val="single" w:sz="4" w:space="0" w:color="auto"/>
            </w:tcBorders>
          </w:tcPr>
          <w:p w:rsidR="00791935" w:rsidRPr="00763BD7" w:rsidRDefault="00BC776D"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Maintain</w:t>
            </w:r>
          </w:p>
        </w:tc>
      </w:tr>
      <w:tr w:rsidR="00A42753" w:rsidRPr="00763BD7" w:rsidTr="0054135A">
        <w:trPr>
          <w:trHeight w:val="525"/>
        </w:trPr>
        <w:tc>
          <w:tcPr>
            <w:tcW w:w="4724" w:type="dxa"/>
            <w:tcBorders>
              <w:top w:val="single" w:sz="4" w:space="0" w:color="auto"/>
              <w:left w:val="single" w:sz="4" w:space="0" w:color="auto"/>
              <w:bottom w:val="single" w:sz="4" w:space="0" w:color="auto"/>
              <w:right w:val="single" w:sz="4" w:space="0" w:color="auto"/>
            </w:tcBorders>
            <w:shd w:val="clear" w:color="auto" w:fill="FFFFFF" w:themeFill="background1"/>
          </w:tcPr>
          <w:p w:rsidR="00A42753" w:rsidRDefault="00362988" w:rsidP="00B45DB9">
            <w:pPr>
              <w:pStyle w:val="ListBullet"/>
              <w:numPr>
                <w:ilvl w:val="0"/>
                <w:numId w:val="0"/>
              </w:numPr>
              <w:tabs>
                <w:tab w:val="left" w:pos="720"/>
              </w:tabs>
              <w:rPr>
                <w:rFonts w:ascii="Arial" w:hAnsi="Arial" w:cs="Arial"/>
                <w:sz w:val="22"/>
                <w:szCs w:val="22"/>
              </w:rPr>
            </w:pPr>
            <w:r w:rsidRPr="00E5241A">
              <w:rPr>
                <w:rFonts w:ascii="Arial" w:hAnsi="Arial" w:cs="Arial"/>
                <w:b/>
                <w:sz w:val="22"/>
                <w:szCs w:val="22"/>
              </w:rPr>
              <w:t>Maintain</w:t>
            </w:r>
            <w:r>
              <w:rPr>
                <w:rFonts w:ascii="Arial" w:hAnsi="Arial" w:cs="Arial"/>
                <w:sz w:val="22"/>
                <w:szCs w:val="22"/>
              </w:rPr>
              <w:t xml:space="preserve"> the n</w:t>
            </w:r>
            <w:r w:rsidR="00A42753" w:rsidRPr="00763BD7">
              <w:rPr>
                <w:rFonts w:ascii="Arial" w:hAnsi="Arial" w:cs="Arial"/>
                <w:sz w:val="22"/>
                <w:szCs w:val="22"/>
              </w:rPr>
              <w:t xml:space="preserve">umber of those newly diagnosed with Dementia </w:t>
            </w:r>
            <w:r w:rsidR="00C95866">
              <w:rPr>
                <w:rFonts w:ascii="Arial" w:hAnsi="Arial" w:cs="Arial"/>
                <w:sz w:val="22"/>
                <w:szCs w:val="22"/>
              </w:rPr>
              <w:t xml:space="preserve">who </w:t>
            </w:r>
            <w:r w:rsidR="00A42753" w:rsidRPr="00763BD7">
              <w:rPr>
                <w:rFonts w:ascii="Arial" w:hAnsi="Arial" w:cs="Arial"/>
                <w:sz w:val="22"/>
                <w:szCs w:val="22"/>
              </w:rPr>
              <w:t>will have a minimum of one year’s post diagnostic support</w:t>
            </w:r>
          </w:p>
          <w:p w:rsidR="00A42753" w:rsidRDefault="00A42753" w:rsidP="00B45DB9">
            <w:pPr>
              <w:pStyle w:val="ListBullet"/>
              <w:numPr>
                <w:ilvl w:val="0"/>
                <w:numId w:val="0"/>
              </w:numPr>
              <w:tabs>
                <w:tab w:val="left" w:pos="720"/>
              </w:tabs>
              <w:rPr>
                <w:rFonts w:ascii="Arial" w:hAnsi="Arial" w:cs="Arial"/>
                <w:sz w:val="22"/>
                <w:szCs w:val="22"/>
              </w:rPr>
            </w:pPr>
          </w:p>
          <w:p w:rsidR="00362988" w:rsidRPr="00763BD7" w:rsidRDefault="00362988" w:rsidP="00362988">
            <w:pPr>
              <w:pStyle w:val="ListBullet"/>
              <w:numPr>
                <w:ilvl w:val="0"/>
                <w:numId w:val="0"/>
              </w:numPr>
              <w:tabs>
                <w:tab w:val="left" w:pos="720"/>
              </w:tabs>
              <w:rPr>
                <w:rFonts w:ascii="Arial" w:hAnsi="Arial" w:cs="Arial"/>
                <w:sz w:val="22"/>
                <w:szCs w:val="22"/>
              </w:rPr>
            </w:pPr>
            <w:r w:rsidRPr="00BC776D">
              <w:rPr>
                <w:rFonts w:ascii="Arial" w:hAnsi="Arial" w:cs="Arial"/>
                <w:b/>
                <w:sz w:val="22"/>
                <w:szCs w:val="22"/>
              </w:rPr>
              <w:t xml:space="preserve">Source: </w:t>
            </w:r>
            <w:r>
              <w:rPr>
                <w:rFonts w:ascii="Arial" w:hAnsi="Arial" w:cs="Arial"/>
                <w:b/>
                <w:sz w:val="22"/>
                <w:szCs w:val="22"/>
              </w:rPr>
              <w:t>South HSCP CE Quarterly Report</w:t>
            </w:r>
          </w:p>
        </w:tc>
        <w:tc>
          <w:tcPr>
            <w:tcW w:w="1763" w:type="dxa"/>
            <w:tcBorders>
              <w:top w:val="single" w:sz="4" w:space="0" w:color="auto"/>
              <w:left w:val="single" w:sz="4" w:space="0" w:color="auto"/>
              <w:bottom w:val="single" w:sz="4" w:space="0" w:color="auto"/>
              <w:right w:val="single" w:sz="4" w:space="0" w:color="auto"/>
            </w:tcBorders>
          </w:tcPr>
          <w:p w:rsidR="00A42753" w:rsidRDefault="007679FD"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 </w:t>
            </w:r>
            <w:r w:rsidR="00362988">
              <w:rPr>
                <w:rFonts w:ascii="Arial" w:hAnsi="Arial" w:cs="Arial"/>
                <w:sz w:val="22"/>
                <w:szCs w:val="22"/>
              </w:rPr>
              <w:t>(March 2017)</w:t>
            </w:r>
          </w:p>
          <w:p w:rsidR="007679FD" w:rsidRDefault="007679FD" w:rsidP="007679FD">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441 </w:t>
            </w:r>
          </w:p>
          <w:p w:rsidR="007679FD" w:rsidRPr="00763BD7" w:rsidRDefault="007679FD" w:rsidP="00B45DB9">
            <w:pPr>
              <w:pStyle w:val="ListBullet"/>
              <w:numPr>
                <w:ilvl w:val="0"/>
                <w:numId w:val="0"/>
              </w:numPr>
              <w:tabs>
                <w:tab w:val="left" w:pos="720"/>
              </w:tabs>
              <w:jc w:val="cente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A42753" w:rsidRDefault="007679FD"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 </w:t>
            </w:r>
            <w:r w:rsidR="00E5241A">
              <w:rPr>
                <w:rFonts w:ascii="Arial" w:hAnsi="Arial" w:cs="Arial"/>
                <w:sz w:val="22"/>
                <w:szCs w:val="22"/>
              </w:rPr>
              <w:t>(2017</w:t>
            </w:r>
            <w:r w:rsidR="006E1F8B">
              <w:rPr>
                <w:rFonts w:ascii="Arial" w:hAnsi="Arial" w:cs="Arial"/>
                <w:sz w:val="22"/>
                <w:szCs w:val="22"/>
              </w:rPr>
              <w:t>/18</w:t>
            </w:r>
            <w:r w:rsidR="00E5241A">
              <w:rPr>
                <w:rFonts w:ascii="Arial" w:hAnsi="Arial" w:cs="Arial"/>
                <w:sz w:val="22"/>
                <w:szCs w:val="22"/>
              </w:rPr>
              <w:t>)</w:t>
            </w:r>
          </w:p>
          <w:p w:rsidR="007679FD" w:rsidRDefault="006E1F8B" w:rsidP="007679FD">
            <w:pPr>
              <w:pStyle w:val="ListBullet"/>
              <w:numPr>
                <w:ilvl w:val="0"/>
                <w:numId w:val="0"/>
              </w:numPr>
              <w:tabs>
                <w:tab w:val="left" w:pos="720"/>
              </w:tabs>
              <w:jc w:val="center"/>
              <w:rPr>
                <w:rFonts w:ascii="Arial" w:hAnsi="Arial" w:cs="Arial"/>
                <w:sz w:val="22"/>
                <w:szCs w:val="22"/>
              </w:rPr>
            </w:pPr>
            <w:r>
              <w:rPr>
                <w:rFonts w:ascii="Arial" w:hAnsi="Arial" w:cs="Arial"/>
                <w:sz w:val="22"/>
                <w:szCs w:val="22"/>
              </w:rPr>
              <w:t>535</w:t>
            </w:r>
          </w:p>
          <w:p w:rsidR="007679FD" w:rsidRPr="00763BD7" w:rsidRDefault="007679FD" w:rsidP="00B45DB9">
            <w:pPr>
              <w:pStyle w:val="ListBullet"/>
              <w:numPr>
                <w:ilvl w:val="0"/>
                <w:numId w:val="0"/>
              </w:numPr>
              <w:tabs>
                <w:tab w:val="left" w:pos="720"/>
              </w:tabs>
              <w:jc w:val="center"/>
              <w:rPr>
                <w:rFonts w:ascii="Arial" w:hAnsi="Arial" w:cs="Arial"/>
                <w:sz w:val="22"/>
                <w:szCs w:val="22"/>
              </w:rPr>
            </w:pPr>
          </w:p>
        </w:tc>
        <w:tc>
          <w:tcPr>
            <w:tcW w:w="2079" w:type="dxa"/>
            <w:tcBorders>
              <w:top w:val="single" w:sz="4" w:space="0" w:color="auto"/>
              <w:left w:val="single" w:sz="4" w:space="0" w:color="auto"/>
              <w:bottom w:val="single" w:sz="4" w:space="0" w:color="auto"/>
              <w:right w:val="single" w:sz="4" w:space="0" w:color="auto"/>
            </w:tcBorders>
          </w:tcPr>
          <w:p w:rsidR="00A42753" w:rsidRPr="00763BD7" w:rsidRDefault="00362988"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Maintain</w:t>
            </w:r>
          </w:p>
        </w:tc>
        <w:tc>
          <w:tcPr>
            <w:tcW w:w="1894" w:type="dxa"/>
            <w:tcBorders>
              <w:top w:val="single" w:sz="4" w:space="0" w:color="auto"/>
              <w:left w:val="single" w:sz="4" w:space="0" w:color="auto"/>
              <w:bottom w:val="single" w:sz="4" w:space="0" w:color="auto"/>
              <w:right w:val="single" w:sz="4" w:space="0" w:color="auto"/>
            </w:tcBorders>
          </w:tcPr>
          <w:p w:rsidR="00A42753" w:rsidRPr="00763BD7" w:rsidRDefault="00362988"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Maintain</w:t>
            </w:r>
          </w:p>
        </w:tc>
        <w:tc>
          <w:tcPr>
            <w:tcW w:w="1871" w:type="dxa"/>
            <w:tcBorders>
              <w:top w:val="single" w:sz="4" w:space="0" w:color="auto"/>
              <w:left w:val="single" w:sz="4" w:space="0" w:color="auto"/>
              <w:bottom w:val="single" w:sz="4" w:space="0" w:color="auto"/>
              <w:right w:val="single" w:sz="4" w:space="0" w:color="auto"/>
            </w:tcBorders>
          </w:tcPr>
          <w:p w:rsidR="00A42753" w:rsidRPr="00763BD7" w:rsidRDefault="00362988"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Maintain</w:t>
            </w:r>
          </w:p>
        </w:tc>
      </w:tr>
      <w:tr w:rsidR="00362988" w:rsidRPr="00763BD7" w:rsidTr="0054135A">
        <w:trPr>
          <w:trHeight w:val="525"/>
        </w:trPr>
        <w:tc>
          <w:tcPr>
            <w:tcW w:w="4724" w:type="dxa"/>
            <w:tcBorders>
              <w:top w:val="single" w:sz="4" w:space="0" w:color="auto"/>
              <w:left w:val="single" w:sz="4" w:space="0" w:color="auto"/>
              <w:bottom w:val="single" w:sz="4" w:space="0" w:color="auto"/>
              <w:right w:val="single" w:sz="4" w:space="0" w:color="auto"/>
            </w:tcBorders>
            <w:shd w:val="clear" w:color="auto" w:fill="FFFFFF" w:themeFill="background1"/>
          </w:tcPr>
          <w:p w:rsidR="00362988" w:rsidRDefault="00E5241A" w:rsidP="00B45DB9">
            <w:pPr>
              <w:pStyle w:val="ListBullet"/>
              <w:numPr>
                <w:ilvl w:val="0"/>
                <w:numId w:val="0"/>
              </w:numPr>
              <w:tabs>
                <w:tab w:val="left" w:pos="720"/>
              </w:tabs>
              <w:rPr>
                <w:rFonts w:ascii="Arial" w:hAnsi="Arial" w:cs="Arial"/>
                <w:sz w:val="22"/>
                <w:szCs w:val="22"/>
              </w:rPr>
            </w:pPr>
            <w:r>
              <w:rPr>
                <w:rFonts w:ascii="Arial" w:hAnsi="Arial" w:cs="Arial"/>
                <w:b/>
                <w:sz w:val="22"/>
                <w:szCs w:val="22"/>
              </w:rPr>
              <w:t xml:space="preserve">Maintain </w:t>
            </w:r>
            <w:r w:rsidRPr="00E5241A">
              <w:rPr>
                <w:rFonts w:ascii="Arial" w:hAnsi="Arial" w:cs="Arial"/>
                <w:sz w:val="22"/>
                <w:szCs w:val="22"/>
              </w:rPr>
              <w:t>p</w:t>
            </w:r>
            <w:r w:rsidR="00362988" w:rsidRPr="00E5241A">
              <w:rPr>
                <w:rFonts w:ascii="Arial" w:hAnsi="Arial" w:cs="Arial"/>
                <w:sz w:val="22"/>
                <w:szCs w:val="22"/>
              </w:rPr>
              <w:t>ercentage</w:t>
            </w:r>
            <w:r w:rsidR="00362988" w:rsidRPr="00763BD7">
              <w:rPr>
                <w:rFonts w:ascii="Arial" w:hAnsi="Arial" w:cs="Arial"/>
                <w:sz w:val="22"/>
                <w:szCs w:val="22"/>
              </w:rPr>
              <w:t xml:space="preserve"> of adults able to look after their health very well or quite well</w:t>
            </w:r>
          </w:p>
          <w:p w:rsidR="00362988" w:rsidRDefault="00362988" w:rsidP="00B45DB9">
            <w:pPr>
              <w:pStyle w:val="ListBullet"/>
              <w:numPr>
                <w:ilvl w:val="0"/>
                <w:numId w:val="0"/>
              </w:numPr>
              <w:tabs>
                <w:tab w:val="left" w:pos="720"/>
              </w:tabs>
              <w:rPr>
                <w:rFonts w:ascii="Arial" w:hAnsi="Arial" w:cs="Arial"/>
                <w:sz w:val="22"/>
                <w:szCs w:val="22"/>
              </w:rPr>
            </w:pPr>
          </w:p>
          <w:p w:rsidR="00362988" w:rsidRPr="00763BD7" w:rsidRDefault="00362988" w:rsidP="007E4F48">
            <w:pPr>
              <w:pStyle w:val="ListBullet"/>
              <w:numPr>
                <w:ilvl w:val="0"/>
                <w:numId w:val="0"/>
              </w:numPr>
              <w:tabs>
                <w:tab w:val="left" w:pos="720"/>
              </w:tabs>
              <w:rPr>
                <w:rFonts w:ascii="Arial" w:hAnsi="Arial" w:cs="Arial"/>
                <w:sz w:val="22"/>
                <w:szCs w:val="22"/>
              </w:rPr>
            </w:pPr>
            <w:r w:rsidRPr="00BC776D">
              <w:rPr>
                <w:rFonts w:ascii="Arial" w:hAnsi="Arial" w:cs="Arial"/>
                <w:b/>
                <w:sz w:val="22"/>
                <w:szCs w:val="22"/>
              </w:rPr>
              <w:t xml:space="preserve">Source: </w:t>
            </w:r>
            <w:r w:rsidR="007E4F48">
              <w:rPr>
                <w:rFonts w:ascii="Arial" w:hAnsi="Arial" w:cs="Arial"/>
                <w:b/>
                <w:sz w:val="22"/>
                <w:szCs w:val="22"/>
              </w:rPr>
              <w:t>Core Indicators</w:t>
            </w:r>
          </w:p>
        </w:tc>
        <w:tc>
          <w:tcPr>
            <w:tcW w:w="1763" w:type="dxa"/>
            <w:tcBorders>
              <w:top w:val="single" w:sz="4" w:space="0" w:color="auto"/>
              <w:left w:val="single" w:sz="4" w:space="0" w:color="auto"/>
              <w:bottom w:val="single" w:sz="4" w:space="0" w:color="auto"/>
              <w:right w:val="single" w:sz="4" w:space="0" w:color="auto"/>
            </w:tcBorders>
          </w:tcPr>
          <w:p w:rsidR="007679FD" w:rsidRPr="009F71A9" w:rsidRDefault="007679FD"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 </w:t>
            </w:r>
            <w:r w:rsidR="00362988" w:rsidRPr="009F71A9">
              <w:rPr>
                <w:rFonts w:ascii="Arial" w:hAnsi="Arial" w:cs="Arial"/>
                <w:sz w:val="22"/>
                <w:szCs w:val="22"/>
              </w:rPr>
              <w:t xml:space="preserve">(2015/16) </w:t>
            </w:r>
          </w:p>
          <w:p w:rsidR="009F71A9" w:rsidRPr="009F71A9" w:rsidRDefault="009F71A9" w:rsidP="007679FD">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94% </w:t>
            </w:r>
          </w:p>
          <w:p w:rsidR="009F71A9" w:rsidRPr="009F71A9" w:rsidRDefault="009F71A9" w:rsidP="007679FD">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South Lanarkshire Average</w:t>
            </w:r>
          </w:p>
          <w:p w:rsidR="009F71A9" w:rsidRPr="009F71A9" w:rsidRDefault="009F71A9" w:rsidP="007679FD">
            <w:pPr>
              <w:pStyle w:val="ListBullet"/>
              <w:numPr>
                <w:ilvl w:val="0"/>
                <w:numId w:val="0"/>
              </w:numPr>
              <w:tabs>
                <w:tab w:val="left" w:pos="720"/>
              </w:tabs>
              <w:jc w:val="center"/>
              <w:rPr>
                <w:rFonts w:ascii="Arial" w:hAnsi="Arial" w:cs="Arial"/>
                <w:sz w:val="22"/>
                <w:szCs w:val="22"/>
              </w:rPr>
            </w:pPr>
          </w:p>
          <w:p w:rsidR="007679FD" w:rsidRPr="009F71A9" w:rsidRDefault="007679FD" w:rsidP="007679FD">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94% </w:t>
            </w:r>
          </w:p>
          <w:p w:rsidR="00362988" w:rsidRPr="009F71A9" w:rsidRDefault="00362988"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Scottish Average</w:t>
            </w:r>
          </w:p>
        </w:tc>
        <w:tc>
          <w:tcPr>
            <w:tcW w:w="1843" w:type="dxa"/>
            <w:tcBorders>
              <w:top w:val="single" w:sz="4" w:space="0" w:color="auto"/>
              <w:left w:val="single" w:sz="4" w:space="0" w:color="auto"/>
              <w:bottom w:val="single" w:sz="4" w:space="0" w:color="auto"/>
              <w:right w:val="single" w:sz="4" w:space="0" w:color="auto"/>
            </w:tcBorders>
          </w:tcPr>
          <w:p w:rsidR="00362988" w:rsidRPr="009F71A9" w:rsidRDefault="007679FD" w:rsidP="00362988">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 </w:t>
            </w:r>
            <w:r w:rsidR="00E5241A" w:rsidRPr="009F71A9">
              <w:rPr>
                <w:rFonts w:ascii="Arial" w:hAnsi="Arial" w:cs="Arial"/>
                <w:sz w:val="22"/>
                <w:szCs w:val="22"/>
              </w:rPr>
              <w:t>(2015/16)</w:t>
            </w:r>
          </w:p>
          <w:p w:rsidR="007679FD" w:rsidRPr="009F71A9" w:rsidRDefault="007679FD" w:rsidP="007679FD">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94% </w:t>
            </w:r>
          </w:p>
          <w:p w:rsidR="007679FD" w:rsidRPr="009F71A9" w:rsidRDefault="007679FD" w:rsidP="00362988">
            <w:pPr>
              <w:pStyle w:val="ListBullet"/>
              <w:numPr>
                <w:ilvl w:val="0"/>
                <w:numId w:val="0"/>
              </w:numPr>
              <w:tabs>
                <w:tab w:val="left" w:pos="720"/>
              </w:tabs>
              <w:jc w:val="center"/>
              <w:rPr>
                <w:rFonts w:ascii="Arial" w:hAnsi="Arial" w:cs="Arial"/>
                <w:sz w:val="22"/>
                <w:szCs w:val="22"/>
              </w:rPr>
            </w:pPr>
          </w:p>
        </w:tc>
        <w:tc>
          <w:tcPr>
            <w:tcW w:w="2079" w:type="dxa"/>
            <w:tcBorders>
              <w:top w:val="single" w:sz="4" w:space="0" w:color="auto"/>
              <w:left w:val="single" w:sz="4" w:space="0" w:color="auto"/>
              <w:bottom w:val="single" w:sz="4" w:space="0" w:color="auto"/>
              <w:right w:val="single" w:sz="4" w:space="0" w:color="auto"/>
            </w:tcBorders>
          </w:tcPr>
          <w:p w:rsidR="007679FD" w:rsidRDefault="00362988" w:rsidP="00315198">
            <w:pPr>
              <w:pStyle w:val="ListBullet"/>
              <w:numPr>
                <w:ilvl w:val="0"/>
                <w:numId w:val="0"/>
              </w:numPr>
              <w:tabs>
                <w:tab w:val="left" w:pos="720"/>
              </w:tabs>
              <w:jc w:val="center"/>
              <w:rPr>
                <w:rFonts w:ascii="Arial" w:hAnsi="Arial" w:cs="Arial"/>
                <w:sz w:val="22"/>
                <w:szCs w:val="22"/>
              </w:rPr>
            </w:pPr>
            <w:r w:rsidRPr="00763BD7">
              <w:rPr>
                <w:rFonts w:ascii="Arial" w:hAnsi="Arial" w:cs="Arial"/>
                <w:sz w:val="22"/>
                <w:szCs w:val="22"/>
              </w:rPr>
              <w:t xml:space="preserve">Maintain at Baseline </w:t>
            </w:r>
          </w:p>
          <w:p w:rsidR="00362988" w:rsidRPr="00763BD7" w:rsidRDefault="00362988" w:rsidP="00315198">
            <w:pPr>
              <w:pStyle w:val="ListBullet"/>
              <w:numPr>
                <w:ilvl w:val="0"/>
                <w:numId w:val="0"/>
              </w:numPr>
              <w:tabs>
                <w:tab w:val="left" w:pos="720"/>
              </w:tabs>
              <w:jc w:val="center"/>
              <w:rPr>
                <w:rFonts w:ascii="Arial" w:hAnsi="Arial" w:cs="Arial"/>
                <w:sz w:val="22"/>
                <w:szCs w:val="22"/>
              </w:rPr>
            </w:pPr>
            <w:r w:rsidRPr="00763BD7">
              <w:rPr>
                <w:rFonts w:ascii="Arial" w:hAnsi="Arial" w:cs="Arial"/>
                <w:sz w:val="22"/>
                <w:szCs w:val="22"/>
              </w:rPr>
              <w:t>(Scottish Average)</w:t>
            </w:r>
          </w:p>
        </w:tc>
        <w:tc>
          <w:tcPr>
            <w:tcW w:w="1894" w:type="dxa"/>
            <w:tcBorders>
              <w:top w:val="single" w:sz="4" w:space="0" w:color="auto"/>
              <w:left w:val="single" w:sz="4" w:space="0" w:color="auto"/>
              <w:bottom w:val="single" w:sz="4" w:space="0" w:color="auto"/>
              <w:right w:val="single" w:sz="4" w:space="0" w:color="auto"/>
            </w:tcBorders>
          </w:tcPr>
          <w:p w:rsidR="00362988" w:rsidRPr="00763BD7" w:rsidRDefault="00362988" w:rsidP="00315198">
            <w:pPr>
              <w:pStyle w:val="ListBullet"/>
              <w:numPr>
                <w:ilvl w:val="0"/>
                <w:numId w:val="0"/>
              </w:numPr>
              <w:tabs>
                <w:tab w:val="left" w:pos="720"/>
              </w:tabs>
              <w:jc w:val="center"/>
              <w:rPr>
                <w:rFonts w:ascii="Arial" w:hAnsi="Arial" w:cs="Arial"/>
                <w:sz w:val="22"/>
                <w:szCs w:val="22"/>
              </w:rPr>
            </w:pPr>
            <w:r w:rsidRPr="00763BD7">
              <w:rPr>
                <w:rFonts w:ascii="Arial" w:hAnsi="Arial" w:cs="Arial"/>
                <w:sz w:val="22"/>
                <w:szCs w:val="22"/>
              </w:rPr>
              <w:t>Maintain at Baseline (Scottish Average)</w:t>
            </w:r>
          </w:p>
        </w:tc>
        <w:tc>
          <w:tcPr>
            <w:tcW w:w="1871" w:type="dxa"/>
            <w:tcBorders>
              <w:top w:val="single" w:sz="4" w:space="0" w:color="auto"/>
              <w:left w:val="single" w:sz="4" w:space="0" w:color="auto"/>
              <w:bottom w:val="single" w:sz="4" w:space="0" w:color="auto"/>
              <w:right w:val="single" w:sz="4" w:space="0" w:color="auto"/>
            </w:tcBorders>
          </w:tcPr>
          <w:p w:rsidR="00362988" w:rsidRPr="00763BD7" w:rsidRDefault="00362988" w:rsidP="00315198">
            <w:pPr>
              <w:pStyle w:val="ListBullet"/>
              <w:numPr>
                <w:ilvl w:val="0"/>
                <w:numId w:val="0"/>
              </w:numPr>
              <w:tabs>
                <w:tab w:val="left" w:pos="720"/>
              </w:tabs>
              <w:jc w:val="center"/>
              <w:rPr>
                <w:rFonts w:ascii="Arial" w:hAnsi="Arial" w:cs="Arial"/>
                <w:sz w:val="22"/>
                <w:szCs w:val="22"/>
              </w:rPr>
            </w:pPr>
            <w:r w:rsidRPr="00763BD7">
              <w:rPr>
                <w:rFonts w:ascii="Arial" w:hAnsi="Arial" w:cs="Arial"/>
                <w:sz w:val="22"/>
                <w:szCs w:val="22"/>
              </w:rPr>
              <w:t>Maintain at Baseline (Scottish Average)</w:t>
            </w:r>
          </w:p>
        </w:tc>
      </w:tr>
    </w:tbl>
    <w:p w:rsidR="009F71A9" w:rsidRDefault="009F71A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111"/>
        <w:gridCol w:w="3402"/>
        <w:gridCol w:w="1768"/>
        <w:gridCol w:w="1808"/>
      </w:tblGrid>
      <w:tr w:rsidR="00763BD7" w:rsidRPr="00763BD7" w:rsidTr="00E32EBC">
        <w:trPr>
          <w:trHeight w:val="361"/>
        </w:trPr>
        <w:tc>
          <w:tcPr>
            <w:tcW w:w="14174" w:type="dxa"/>
            <w:gridSpan w:val="5"/>
            <w:tcBorders>
              <w:top w:val="single" w:sz="4" w:space="0" w:color="auto"/>
              <w:left w:val="single" w:sz="4" w:space="0" w:color="auto"/>
              <w:bottom w:val="single" w:sz="4" w:space="0" w:color="auto"/>
              <w:right w:val="single" w:sz="4" w:space="0" w:color="auto"/>
            </w:tcBorders>
            <w:shd w:val="clear" w:color="auto" w:fill="E5DFEC"/>
          </w:tcPr>
          <w:p w:rsidR="00763BD7" w:rsidRPr="00763BD7" w:rsidRDefault="00763BD7" w:rsidP="00B45DB9">
            <w:pPr>
              <w:pStyle w:val="ListBullet"/>
              <w:numPr>
                <w:ilvl w:val="0"/>
                <w:numId w:val="0"/>
              </w:numPr>
              <w:tabs>
                <w:tab w:val="left" w:pos="720"/>
              </w:tabs>
              <w:rPr>
                <w:rFonts w:ascii="Arial" w:hAnsi="Arial" w:cs="Arial"/>
                <w:b/>
                <w:sz w:val="22"/>
                <w:szCs w:val="22"/>
              </w:rPr>
            </w:pPr>
            <w:r w:rsidRPr="00763BD7">
              <w:rPr>
                <w:rFonts w:ascii="Arial" w:hAnsi="Arial" w:cs="Arial"/>
                <w:b/>
                <w:sz w:val="22"/>
                <w:szCs w:val="22"/>
              </w:rPr>
              <w:t>We will take the following actions to achieve the outcome above</w:t>
            </w:r>
          </w:p>
        </w:tc>
      </w:tr>
      <w:tr w:rsidR="00763BD7" w:rsidRPr="00763BD7" w:rsidTr="00736EC7">
        <w:trPr>
          <w:trHeight w:val="372"/>
        </w:trPr>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63BD7" w:rsidRPr="00763BD7" w:rsidRDefault="00763BD7" w:rsidP="00B45DB9">
            <w:pPr>
              <w:pStyle w:val="ListBullet"/>
              <w:numPr>
                <w:ilvl w:val="0"/>
                <w:numId w:val="0"/>
              </w:numPr>
              <w:tabs>
                <w:tab w:val="left" w:pos="720"/>
              </w:tabs>
              <w:spacing w:line="276" w:lineRule="auto"/>
              <w:jc w:val="center"/>
              <w:rPr>
                <w:rFonts w:ascii="Arial" w:hAnsi="Arial" w:cs="Arial"/>
                <w:b/>
                <w:sz w:val="22"/>
                <w:szCs w:val="22"/>
              </w:rPr>
            </w:pPr>
            <w:r w:rsidRPr="00763BD7">
              <w:rPr>
                <w:rFonts w:ascii="Arial" w:hAnsi="Arial" w:cs="Arial"/>
                <w:b/>
                <w:sz w:val="22"/>
                <w:szCs w:val="22"/>
              </w:rPr>
              <w:t>Change Required</w:t>
            </w:r>
          </w:p>
        </w:tc>
        <w:tc>
          <w:tcPr>
            <w:tcW w:w="411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63BD7" w:rsidRPr="00763BD7" w:rsidRDefault="00763BD7" w:rsidP="009470B8">
            <w:pPr>
              <w:jc w:val="center"/>
              <w:rPr>
                <w:rFonts w:cs="Arial"/>
                <w:b/>
              </w:rPr>
            </w:pPr>
            <w:r w:rsidRPr="00763BD7">
              <w:rPr>
                <w:rFonts w:cs="Arial"/>
                <w:b/>
              </w:rPr>
              <w:t>Action to achieve change (including outcome measures and targets)</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63BD7" w:rsidRPr="00763BD7" w:rsidRDefault="00763BD7" w:rsidP="00B45DB9">
            <w:pPr>
              <w:jc w:val="center"/>
              <w:rPr>
                <w:rFonts w:cs="Arial"/>
                <w:b/>
              </w:rPr>
            </w:pPr>
            <w:r w:rsidRPr="00763BD7">
              <w:rPr>
                <w:rFonts w:cs="Arial"/>
                <w:b/>
              </w:rPr>
              <w:t>Timescale</w:t>
            </w:r>
          </w:p>
        </w:tc>
        <w:tc>
          <w:tcPr>
            <w:tcW w:w="176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63BD7" w:rsidRPr="00763BD7" w:rsidRDefault="00763BD7" w:rsidP="00B45DB9">
            <w:pPr>
              <w:jc w:val="center"/>
              <w:rPr>
                <w:rFonts w:cs="Arial"/>
                <w:b/>
              </w:rPr>
            </w:pPr>
            <w:r w:rsidRPr="00763BD7">
              <w:rPr>
                <w:rFonts w:cs="Arial"/>
                <w:b/>
              </w:rPr>
              <w:t>Responsibility</w:t>
            </w:r>
          </w:p>
        </w:tc>
        <w:tc>
          <w:tcPr>
            <w:tcW w:w="180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63BD7" w:rsidRPr="00763BD7" w:rsidRDefault="00763BD7" w:rsidP="00B45DB9">
            <w:pPr>
              <w:jc w:val="center"/>
              <w:rPr>
                <w:rFonts w:cs="Arial"/>
                <w:b/>
              </w:rPr>
            </w:pPr>
            <w:r w:rsidRPr="00763BD7">
              <w:rPr>
                <w:rFonts w:cs="Arial"/>
                <w:b/>
              </w:rPr>
              <w:t>Poverty focus</w:t>
            </w:r>
          </w:p>
        </w:tc>
      </w:tr>
      <w:tr w:rsidR="00763BD7" w:rsidRPr="00763BD7" w:rsidTr="00736EC7">
        <w:trPr>
          <w:trHeight w:val="990"/>
        </w:trPr>
        <w:tc>
          <w:tcPr>
            <w:tcW w:w="3085" w:type="dxa"/>
            <w:vMerge w:val="restart"/>
            <w:tcBorders>
              <w:top w:val="single" w:sz="4" w:space="0" w:color="auto"/>
              <w:left w:val="single" w:sz="4" w:space="0" w:color="auto"/>
              <w:right w:val="single" w:sz="4" w:space="0" w:color="auto"/>
            </w:tcBorders>
            <w:shd w:val="clear" w:color="auto" w:fill="FFFFFF" w:themeFill="background1"/>
          </w:tcPr>
          <w:p w:rsidR="00763BD7" w:rsidRPr="00763BD7" w:rsidRDefault="00763BD7" w:rsidP="00315198">
            <w:pPr>
              <w:shd w:val="clear" w:color="auto" w:fill="FFFFFF"/>
              <w:rPr>
                <w:rFonts w:cs="Arial"/>
              </w:rPr>
            </w:pPr>
            <w:r w:rsidRPr="00763BD7">
              <w:rPr>
                <w:rFonts w:cs="Arial"/>
              </w:rPr>
              <w:t>Empowering communities to improve their own health and wellbeing</w:t>
            </w:r>
          </w:p>
          <w:p w:rsidR="00763BD7" w:rsidRPr="00763BD7" w:rsidRDefault="00763BD7" w:rsidP="00315198">
            <w:pPr>
              <w:shd w:val="clear" w:color="auto" w:fill="FFFFFF"/>
              <w:rPr>
                <w:rFonts w:cs="Arial"/>
              </w:rPr>
            </w:pPr>
          </w:p>
          <w:p w:rsidR="00763BD7" w:rsidRPr="00763BD7" w:rsidRDefault="00763BD7" w:rsidP="00315198">
            <w:pPr>
              <w:shd w:val="clear" w:color="auto" w:fill="FFFFFF"/>
              <w:rPr>
                <w:rFonts w:cs="Arial"/>
              </w:rPr>
            </w:pPr>
          </w:p>
        </w:tc>
        <w:tc>
          <w:tcPr>
            <w:tcW w:w="4111"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shd w:val="clear" w:color="auto" w:fill="FFFFFF"/>
              <w:rPr>
                <w:rFonts w:cs="Arial"/>
              </w:rPr>
            </w:pPr>
            <w:r w:rsidRPr="00763BD7">
              <w:rPr>
                <w:rFonts w:cs="Arial"/>
              </w:rPr>
              <w:t>Through locality planning, work with communities to develop solution focused interventions which are sustainable and owned by communities</w:t>
            </w:r>
          </w:p>
        </w:tc>
        <w:tc>
          <w:tcPr>
            <w:tcW w:w="3402" w:type="dxa"/>
            <w:tcBorders>
              <w:top w:val="single" w:sz="4" w:space="0" w:color="auto"/>
              <w:left w:val="single" w:sz="4" w:space="0" w:color="auto"/>
              <w:bottom w:val="single" w:sz="4" w:space="0" w:color="auto"/>
              <w:right w:val="single" w:sz="4" w:space="0" w:color="auto"/>
            </w:tcBorders>
          </w:tcPr>
          <w:p w:rsidR="00763BD7" w:rsidRPr="00763BD7" w:rsidRDefault="00763BD7" w:rsidP="00CA23A9">
            <w:pPr>
              <w:jc w:val="center"/>
              <w:rPr>
                <w:rFonts w:cs="Arial"/>
              </w:rPr>
            </w:pPr>
            <w:r w:rsidRPr="00763BD7">
              <w:rPr>
                <w:rFonts w:cs="Arial"/>
              </w:rPr>
              <w:t>2017/18 Onwards</w:t>
            </w:r>
          </w:p>
        </w:tc>
        <w:tc>
          <w:tcPr>
            <w:tcW w:w="1768" w:type="dxa"/>
            <w:tcBorders>
              <w:top w:val="single" w:sz="4" w:space="0" w:color="auto"/>
              <w:left w:val="single" w:sz="4" w:space="0" w:color="auto"/>
              <w:bottom w:val="single" w:sz="4" w:space="0" w:color="auto"/>
              <w:right w:val="single" w:sz="4" w:space="0" w:color="auto"/>
            </w:tcBorders>
          </w:tcPr>
          <w:p w:rsidR="00763BD7" w:rsidRPr="00763BD7" w:rsidRDefault="00763BD7" w:rsidP="00315198">
            <w:pPr>
              <w:tabs>
                <w:tab w:val="num" w:pos="1671"/>
              </w:tabs>
              <w:jc w:val="center"/>
              <w:rPr>
                <w:rFonts w:cs="Arial"/>
              </w:rPr>
            </w:pPr>
            <w:r w:rsidRPr="00763BD7">
              <w:rPr>
                <w:rFonts w:cs="Arial"/>
              </w:rPr>
              <w:t>Nurse Director</w:t>
            </w:r>
          </w:p>
        </w:tc>
        <w:tc>
          <w:tcPr>
            <w:tcW w:w="1808"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jc w:val="center"/>
              <w:rPr>
                <w:rFonts w:cs="Arial"/>
              </w:rPr>
            </w:pPr>
            <w:r w:rsidRPr="00763BD7">
              <w:rPr>
                <w:rFonts w:cs="Arial"/>
              </w:rPr>
              <w:t>1, 5</w:t>
            </w:r>
          </w:p>
        </w:tc>
      </w:tr>
      <w:tr w:rsidR="00763BD7" w:rsidRPr="00763BD7" w:rsidTr="00736EC7">
        <w:trPr>
          <w:trHeight w:val="990"/>
        </w:trPr>
        <w:tc>
          <w:tcPr>
            <w:tcW w:w="3085" w:type="dxa"/>
            <w:vMerge/>
            <w:tcBorders>
              <w:left w:val="single" w:sz="4" w:space="0" w:color="auto"/>
              <w:right w:val="single" w:sz="4" w:space="0" w:color="auto"/>
            </w:tcBorders>
            <w:shd w:val="clear" w:color="auto" w:fill="FFFFFF" w:themeFill="background1"/>
          </w:tcPr>
          <w:p w:rsidR="00763BD7" w:rsidRPr="00763BD7" w:rsidRDefault="00763BD7" w:rsidP="00B45DB9">
            <w:pPr>
              <w:shd w:val="clear" w:color="auto" w:fill="FFFFFF"/>
              <w:ind w:left="113"/>
              <w:rPr>
                <w:rFonts w:cs="Arial"/>
              </w:rPr>
            </w:pPr>
          </w:p>
        </w:tc>
        <w:tc>
          <w:tcPr>
            <w:tcW w:w="4111" w:type="dxa"/>
            <w:tcBorders>
              <w:top w:val="single" w:sz="4" w:space="0" w:color="auto"/>
              <w:left w:val="single" w:sz="4" w:space="0" w:color="auto"/>
              <w:bottom w:val="single" w:sz="4" w:space="0" w:color="auto"/>
              <w:right w:val="single" w:sz="4" w:space="0" w:color="auto"/>
            </w:tcBorders>
          </w:tcPr>
          <w:p w:rsidR="00763BD7" w:rsidRPr="00461B86" w:rsidRDefault="00763BD7" w:rsidP="00B45DB9">
            <w:pPr>
              <w:shd w:val="clear" w:color="auto" w:fill="FFFFFF"/>
              <w:rPr>
                <w:rFonts w:cs="Arial"/>
              </w:rPr>
            </w:pPr>
            <w:r w:rsidRPr="00461B86">
              <w:rPr>
                <w:rFonts w:cs="Arial"/>
              </w:rPr>
              <w:t>Grow capacity in the Third Sector to ensure that people are supported to improve their health and wellbeing</w:t>
            </w:r>
          </w:p>
        </w:tc>
        <w:tc>
          <w:tcPr>
            <w:tcW w:w="3402" w:type="dxa"/>
            <w:tcBorders>
              <w:top w:val="single" w:sz="4" w:space="0" w:color="auto"/>
              <w:left w:val="single" w:sz="4" w:space="0" w:color="auto"/>
              <w:bottom w:val="single" w:sz="4" w:space="0" w:color="auto"/>
              <w:right w:val="single" w:sz="4" w:space="0" w:color="auto"/>
            </w:tcBorders>
          </w:tcPr>
          <w:p w:rsidR="00763BD7" w:rsidRPr="00763BD7" w:rsidRDefault="00763BD7" w:rsidP="00CA23A9">
            <w:pPr>
              <w:jc w:val="center"/>
              <w:rPr>
                <w:rFonts w:cs="Arial"/>
              </w:rPr>
            </w:pPr>
            <w:r w:rsidRPr="00763BD7">
              <w:rPr>
                <w:rFonts w:cs="Arial"/>
              </w:rPr>
              <w:t>2018/19</w:t>
            </w:r>
          </w:p>
        </w:tc>
        <w:tc>
          <w:tcPr>
            <w:tcW w:w="1768" w:type="dxa"/>
            <w:tcBorders>
              <w:top w:val="single" w:sz="4" w:space="0" w:color="auto"/>
              <w:left w:val="single" w:sz="4" w:space="0" w:color="auto"/>
              <w:bottom w:val="single" w:sz="4" w:space="0" w:color="auto"/>
              <w:right w:val="single" w:sz="4" w:space="0" w:color="auto"/>
            </w:tcBorders>
          </w:tcPr>
          <w:p w:rsidR="00763BD7" w:rsidRPr="00763BD7" w:rsidRDefault="00763BD7" w:rsidP="00315198">
            <w:pPr>
              <w:tabs>
                <w:tab w:val="num" w:pos="1671"/>
              </w:tabs>
              <w:jc w:val="center"/>
              <w:rPr>
                <w:rFonts w:cs="Arial"/>
              </w:rPr>
            </w:pPr>
            <w:r w:rsidRPr="00763BD7">
              <w:rPr>
                <w:rFonts w:cs="Arial"/>
              </w:rPr>
              <w:t>Head of Health Promotion and Chief Executive of VASLan</w:t>
            </w:r>
          </w:p>
        </w:tc>
        <w:tc>
          <w:tcPr>
            <w:tcW w:w="1808"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jc w:val="center"/>
              <w:rPr>
                <w:rFonts w:cs="Arial"/>
              </w:rPr>
            </w:pPr>
            <w:r w:rsidRPr="00763BD7">
              <w:rPr>
                <w:rFonts w:cs="Arial"/>
              </w:rPr>
              <w:t>1, 5</w:t>
            </w:r>
          </w:p>
        </w:tc>
      </w:tr>
      <w:tr w:rsidR="00763BD7" w:rsidRPr="00763BD7" w:rsidTr="00736EC7">
        <w:trPr>
          <w:trHeight w:val="990"/>
        </w:trPr>
        <w:tc>
          <w:tcPr>
            <w:tcW w:w="3085" w:type="dxa"/>
            <w:vMerge/>
            <w:tcBorders>
              <w:left w:val="single" w:sz="4" w:space="0" w:color="auto"/>
              <w:right w:val="single" w:sz="4" w:space="0" w:color="auto"/>
            </w:tcBorders>
            <w:shd w:val="clear" w:color="auto" w:fill="FFFFFF" w:themeFill="background1"/>
          </w:tcPr>
          <w:p w:rsidR="00763BD7" w:rsidRPr="00763BD7" w:rsidRDefault="00763BD7" w:rsidP="00B45DB9">
            <w:pPr>
              <w:shd w:val="clear" w:color="auto" w:fill="FFFFFF"/>
              <w:ind w:left="113"/>
              <w:rPr>
                <w:rFonts w:cs="Arial"/>
              </w:rPr>
            </w:pPr>
          </w:p>
        </w:tc>
        <w:tc>
          <w:tcPr>
            <w:tcW w:w="4111" w:type="dxa"/>
            <w:tcBorders>
              <w:top w:val="single" w:sz="4" w:space="0" w:color="auto"/>
              <w:left w:val="single" w:sz="4" w:space="0" w:color="auto"/>
              <w:bottom w:val="single" w:sz="4" w:space="0" w:color="auto"/>
              <w:right w:val="single" w:sz="4" w:space="0" w:color="auto"/>
            </w:tcBorders>
          </w:tcPr>
          <w:p w:rsidR="00763BD7" w:rsidRPr="00763BD7" w:rsidRDefault="00763BD7" w:rsidP="009470B8">
            <w:pPr>
              <w:shd w:val="clear" w:color="auto" w:fill="FFFFFF"/>
              <w:rPr>
                <w:rFonts w:cs="Arial"/>
              </w:rPr>
            </w:pPr>
            <w:r w:rsidRPr="00763BD7">
              <w:rPr>
                <w:rFonts w:cs="Arial"/>
              </w:rPr>
              <w:t xml:space="preserve">Develop the necessary locality planning arrangements to support better integrated working across </w:t>
            </w:r>
            <w:r w:rsidR="009470B8">
              <w:rPr>
                <w:rFonts w:cs="Arial"/>
              </w:rPr>
              <w:t>H</w:t>
            </w:r>
            <w:r w:rsidRPr="00763BD7">
              <w:rPr>
                <w:rFonts w:cs="Arial"/>
              </w:rPr>
              <w:t xml:space="preserve">ealth and </w:t>
            </w:r>
            <w:r w:rsidR="009470B8">
              <w:rPr>
                <w:rFonts w:cs="Arial"/>
              </w:rPr>
              <w:t>S</w:t>
            </w:r>
            <w:r w:rsidRPr="00763BD7">
              <w:rPr>
                <w:rFonts w:cs="Arial"/>
              </w:rPr>
              <w:t xml:space="preserve">ocial </w:t>
            </w:r>
            <w:r w:rsidR="009470B8">
              <w:rPr>
                <w:rFonts w:cs="Arial"/>
              </w:rPr>
              <w:t>Care S</w:t>
            </w:r>
            <w:r w:rsidRPr="00763BD7">
              <w:rPr>
                <w:rFonts w:cs="Arial"/>
              </w:rPr>
              <w:t>ervices and other partners in localities</w:t>
            </w:r>
          </w:p>
        </w:tc>
        <w:tc>
          <w:tcPr>
            <w:tcW w:w="3402" w:type="dxa"/>
            <w:tcBorders>
              <w:top w:val="single" w:sz="4" w:space="0" w:color="auto"/>
              <w:left w:val="single" w:sz="4" w:space="0" w:color="auto"/>
              <w:bottom w:val="single" w:sz="4" w:space="0" w:color="auto"/>
              <w:right w:val="single" w:sz="4" w:space="0" w:color="auto"/>
            </w:tcBorders>
          </w:tcPr>
          <w:p w:rsidR="00763BD7" w:rsidRPr="00763BD7" w:rsidRDefault="00763BD7" w:rsidP="00CA23A9">
            <w:pPr>
              <w:jc w:val="center"/>
              <w:rPr>
                <w:rFonts w:cs="Arial"/>
              </w:rPr>
            </w:pPr>
            <w:r w:rsidRPr="00763BD7">
              <w:rPr>
                <w:rFonts w:cs="Arial"/>
              </w:rPr>
              <w:t>2017/18 Onwards</w:t>
            </w:r>
          </w:p>
        </w:tc>
        <w:tc>
          <w:tcPr>
            <w:tcW w:w="1768" w:type="dxa"/>
            <w:tcBorders>
              <w:top w:val="single" w:sz="4" w:space="0" w:color="auto"/>
              <w:left w:val="single" w:sz="4" w:space="0" w:color="auto"/>
              <w:bottom w:val="single" w:sz="4" w:space="0" w:color="auto"/>
              <w:right w:val="single" w:sz="4" w:space="0" w:color="auto"/>
            </w:tcBorders>
          </w:tcPr>
          <w:p w:rsidR="00763BD7" w:rsidRPr="00763BD7" w:rsidRDefault="00763BD7" w:rsidP="00315198">
            <w:pPr>
              <w:tabs>
                <w:tab w:val="num" w:pos="1671"/>
              </w:tabs>
              <w:jc w:val="center"/>
              <w:rPr>
                <w:rFonts w:cs="Arial"/>
              </w:rPr>
            </w:pPr>
            <w:r w:rsidRPr="00763BD7">
              <w:rPr>
                <w:rFonts w:cs="Arial"/>
              </w:rPr>
              <w:t>Heads of Health and Social Care</w:t>
            </w:r>
          </w:p>
        </w:tc>
        <w:tc>
          <w:tcPr>
            <w:tcW w:w="1808"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jc w:val="center"/>
              <w:rPr>
                <w:rFonts w:cs="Arial"/>
              </w:rPr>
            </w:pPr>
            <w:r w:rsidRPr="00763BD7">
              <w:rPr>
                <w:rFonts w:cs="Arial"/>
              </w:rPr>
              <w:t>1, 5</w:t>
            </w:r>
          </w:p>
        </w:tc>
      </w:tr>
      <w:tr w:rsidR="00763BD7" w:rsidRPr="00763BD7" w:rsidTr="00736EC7">
        <w:trPr>
          <w:trHeight w:val="990"/>
        </w:trPr>
        <w:tc>
          <w:tcPr>
            <w:tcW w:w="3085" w:type="dxa"/>
            <w:vMerge/>
            <w:tcBorders>
              <w:left w:val="single" w:sz="4" w:space="0" w:color="auto"/>
              <w:right w:val="single" w:sz="4" w:space="0" w:color="auto"/>
            </w:tcBorders>
            <w:shd w:val="clear" w:color="auto" w:fill="FFFFFF" w:themeFill="background1"/>
          </w:tcPr>
          <w:p w:rsidR="00763BD7" w:rsidRPr="00763BD7" w:rsidRDefault="00763BD7" w:rsidP="00B45DB9">
            <w:pPr>
              <w:shd w:val="clear" w:color="auto" w:fill="FFFFFF"/>
              <w:ind w:left="113"/>
              <w:rPr>
                <w:rFonts w:cs="Arial"/>
              </w:rPr>
            </w:pPr>
          </w:p>
        </w:tc>
        <w:tc>
          <w:tcPr>
            <w:tcW w:w="4111" w:type="dxa"/>
            <w:tcBorders>
              <w:top w:val="single" w:sz="4" w:space="0" w:color="auto"/>
              <w:left w:val="single" w:sz="4" w:space="0" w:color="auto"/>
              <w:bottom w:val="single" w:sz="4" w:space="0" w:color="auto"/>
              <w:right w:val="single" w:sz="4" w:space="0" w:color="auto"/>
            </w:tcBorders>
          </w:tcPr>
          <w:p w:rsidR="00763BD7" w:rsidRPr="00763BD7" w:rsidRDefault="009470B8" w:rsidP="009470B8">
            <w:pPr>
              <w:shd w:val="clear" w:color="auto" w:fill="FFFFFF"/>
              <w:rPr>
                <w:rFonts w:cs="Arial"/>
              </w:rPr>
            </w:pPr>
            <w:r>
              <w:rPr>
                <w:rFonts w:cs="Arial"/>
              </w:rPr>
              <w:t>Develop a population based Mental H</w:t>
            </w:r>
            <w:r w:rsidR="00763BD7" w:rsidRPr="00763BD7">
              <w:rPr>
                <w:rFonts w:cs="Arial"/>
              </w:rPr>
              <w:t xml:space="preserve">ealth </w:t>
            </w:r>
            <w:r>
              <w:rPr>
                <w:rFonts w:cs="Arial"/>
              </w:rPr>
              <w:t>I</w:t>
            </w:r>
            <w:r w:rsidR="00763BD7" w:rsidRPr="00763BD7">
              <w:rPr>
                <w:rFonts w:cs="Arial"/>
              </w:rPr>
              <w:t xml:space="preserve">mprovement </w:t>
            </w:r>
            <w:r>
              <w:rPr>
                <w:rFonts w:cs="Arial"/>
              </w:rPr>
              <w:t>Action P</w:t>
            </w:r>
            <w:r w:rsidR="00763BD7" w:rsidRPr="00763BD7">
              <w:rPr>
                <w:rFonts w:cs="Arial"/>
              </w:rPr>
              <w:t>lan for South Lanarkshire in line with the new Mental Health Strategy</w:t>
            </w:r>
          </w:p>
        </w:tc>
        <w:tc>
          <w:tcPr>
            <w:tcW w:w="3402" w:type="dxa"/>
            <w:tcBorders>
              <w:top w:val="single" w:sz="4" w:space="0" w:color="auto"/>
              <w:left w:val="single" w:sz="4" w:space="0" w:color="auto"/>
              <w:bottom w:val="single" w:sz="4" w:space="0" w:color="auto"/>
              <w:right w:val="single" w:sz="4" w:space="0" w:color="auto"/>
            </w:tcBorders>
          </w:tcPr>
          <w:p w:rsidR="00763BD7" w:rsidRPr="00763BD7" w:rsidRDefault="00763BD7" w:rsidP="00CA23A9">
            <w:pPr>
              <w:jc w:val="center"/>
              <w:rPr>
                <w:rFonts w:cs="Arial"/>
              </w:rPr>
            </w:pPr>
            <w:r w:rsidRPr="00763BD7">
              <w:rPr>
                <w:rFonts w:cs="Arial"/>
              </w:rPr>
              <w:t>2018/19</w:t>
            </w:r>
          </w:p>
        </w:tc>
        <w:tc>
          <w:tcPr>
            <w:tcW w:w="1768" w:type="dxa"/>
            <w:tcBorders>
              <w:top w:val="single" w:sz="4" w:space="0" w:color="auto"/>
              <w:left w:val="single" w:sz="4" w:space="0" w:color="auto"/>
              <w:bottom w:val="single" w:sz="4" w:space="0" w:color="auto"/>
              <w:right w:val="single" w:sz="4" w:space="0" w:color="auto"/>
            </w:tcBorders>
          </w:tcPr>
          <w:p w:rsidR="00763BD7" w:rsidRPr="00763BD7" w:rsidRDefault="00763BD7" w:rsidP="00315198">
            <w:pPr>
              <w:tabs>
                <w:tab w:val="num" w:pos="1671"/>
              </w:tabs>
              <w:jc w:val="center"/>
              <w:rPr>
                <w:rFonts w:cs="Arial"/>
              </w:rPr>
            </w:pPr>
            <w:r w:rsidRPr="00763BD7">
              <w:rPr>
                <w:rFonts w:cs="Arial"/>
              </w:rPr>
              <w:t>Nurse Director</w:t>
            </w:r>
          </w:p>
        </w:tc>
        <w:tc>
          <w:tcPr>
            <w:tcW w:w="1808"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jc w:val="center"/>
              <w:rPr>
                <w:rFonts w:cs="Arial"/>
              </w:rPr>
            </w:pPr>
            <w:r w:rsidRPr="00763BD7">
              <w:rPr>
                <w:rFonts w:cs="Arial"/>
              </w:rPr>
              <w:t>1, 5</w:t>
            </w:r>
          </w:p>
        </w:tc>
      </w:tr>
      <w:tr w:rsidR="00763BD7" w:rsidRPr="00763BD7" w:rsidTr="00736EC7">
        <w:trPr>
          <w:trHeight w:val="990"/>
        </w:trPr>
        <w:tc>
          <w:tcPr>
            <w:tcW w:w="3085" w:type="dxa"/>
            <w:vMerge w:val="restart"/>
            <w:tcBorders>
              <w:top w:val="single" w:sz="4" w:space="0" w:color="auto"/>
              <w:left w:val="single" w:sz="4" w:space="0" w:color="auto"/>
              <w:right w:val="single" w:sz="4" w:space="0" w:color="auto"/>
            </w:tcBorders>
            <w:shd w:val="clear" w:color="auto" w:fill="FFFFFF" w:themeFill="background1"/>
          </w:tcPr>
          <w:p w:rsidR="00763BD7" w:rsidRPr="00763BD7" w:rsidRDefault="00763BD7" w:rsidP="00315198">
            <w:pPr>
              <w:shd w:val="clear" w:color="auto" w:fill="FFFFFF"/>
              <w:rPr>
                <w:rFonts w:cs="Arial"/>
              </w:rPr>
            </w:pPr>
            <w:r w:rsidRPr="00763BD7">
              <w:rPr>
                <w:rFonts w:cs="Arial"/>
              </w:rPr>
              <w:t>Shifting the focus from reactive interventions to early intervention and prevention programmes</w:t>
            </w:r>
          </w:p>
        </w:tc>
        <w:tc>
          <w:tcPr>
            <w:tcW w:w="4111"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shd w:val="clear" w:color="auto" w:fill="FFFFFF"/>
              <w:rPr>
                <w:rFonts w:cs="Arial"/>
              </w:rPr>
            </w:pPr>
            <w:r w:rsidRPr="00763BD7">
              <w:rPr>
                <w:rFonts w:cs="Arial"/>
              </w:rPr>
              <w:t>Support the expansion of the Get Walking Lanarkshire Programme</w:t>
            </w:r>
          </w:p>
        </w:tc>
        <w:tc>
          <w:tcPr>
            <w:tcW w:w="3402" w:type="dxa"/>
            <w:tcBorders>
              <w:top w:val="single" w:sz="4" w:space="0" w:color="auto"/>
              <w:left w:val="single" w:sz="4" w:space="0" w:color="auto"/>
              <w:bottom w:val="single" w:sz="4" w:space="0" w:color="auto"/>
              <w:right w:val="single" w:sz="4" w:space="0" w:color="auto"/>
            </w:tcBorders>
          </w:tcPr>
          <w:p w:rsidR="00763BD7" w:rsidRPr="00763BD7" w:rsidRDefault="00763BD7" w:rsidP="00CA23A9">
            <w:pPr>
              <w:jc w:val="center"/>
              <w:rPr>
                <w:rFonts w:cs="Arial"/>
              </w:rPr>
            </w:pPr>
            <w:r w:rsidRPr="00763BD7">
              <w:rPr>
                <w:rFonts w:cs="Arial"/>
              </w:rPr>
              <w:t>2018/19</w:t>
            </w:r>
          </w:p>
        </w:tc>
        <w:tc>
          <w:tcPr>
            <w:tcW w:w="1768" w:type="dxa"/>
            <w:tcBorders>
              <w:top w:val="single" w:sz="4" w:space="0" w:color="auto"/>
              <w:left w:val="single" w:sz="4" w:space="0" w:color="auto"/>
              <w:bottom w:val="single" w:sz="4" w:space="0" w:color="auto"/>
              <w:right w:val="single" w:sz="4" w:space="0" w:color="auto"/>
            </w:tcBorders>
          </w:tcPr>
          <w:p w:rsidR="00763BD7" w:rsidRPr="00763BD7" w:rsidRDefault="00763BD7" w:rsidP="00315198">
            <w:pPr>
              <w:tabs>
                <w:tab w:val="num" w:pos="1671"/>
              </w:tabs>
              <w:jc w:val="center"/>
              <w:rPr>
                <w:rFonts w:cs="Arial"/>
              </w:rPr>
            </w:pPr>
            <w:r w:rsidRPr="00763BD7">
              <w:rPr>
                <w:rFonts w:cs="Arial"/>
              </w:rPr>
              <w:t>Head of Health Promotion</w:t>
            </w:r>
          </w:p>
        </w:tc>
        <w:tc>
          <w:tcPr>
            <w:tcW w:w="1808"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jc w:val="center"/>
              <w:rPr>
                <w:rFonts w:cs="Arial"/>
              </w:rPr>
            </w:pPr>
            <w:r w:rsidRPr="00763BD7">
              <w:rPr>
                <w:rFonts w:cs="Arial"/>
              </w:rPr>
              <w:t>5</w:t>
            </w:r>
          </w:p>
        </w:tc>
      </w:tr>
      <w:tr w:rsidR="00763BD7" w:rsidRPr="00763BD7" w:rsidTr="00736EC7">
        <w:trPr>
          <w:trHeight w:val="990"/>
        </w:trPr>
        <w:tc>
          <w:tcPr>
            <w:tcW w:w="3085" w:type="dxa"/>
            <w:vMerge/>
            <w:tcBorders>
              <w:top w:val="single" w:sz="4" w:space="0" w:color="auto"/>
              <w:left w:val="single" w:sz="4" w:space="0" w:color="auto"/>
              <w:right w:val="single" w:sz="4" w:space="0" w:color="auto"/>
            </w:tcBorders>
            <w:shd w:val="clear" w:color="auto" w:fill="FFFFFF" w:themeFill="background1"/>
          </w:tcPr>
          <w:p w:rsidR="00763BD7" w:rsidRPr="00763BD7" w:rsidRDefault="00763BD7" w:rsidP="00315198">
            <w:pPr>
              <w:shd w:val="clear" w:color="auto" w:fill="FFFFFF"/>
              <w:rPr>
                <w:rFonts w:cs="Arial"/>
              </w:rPr>
            </w:pPr>
          </w:p>
        </w:tc>
        <w:tc>
          <w:tcPr>
            <w:tcW w:w="4111"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shd w:val="clear" w:color="auto" w:fill="FFFFFF"/>
              <w:rPr>
                <w:rFonts w:cs="Arial"/>
              </w:rPr>
            </w:pPr>
            <w:r w:rsidRPr="00763BD7">
              <w:rPr>
                <w:rFonts w:cs="Arial"/>
              </w:rPr>
              <w:t>Support the ambitions of the Greenspace Partnership</w:t>
            </w:r>
          </w:p>
        </w:tc>
        <w:tc>
          <w:tcPr>
            <w:tcW w:w="3402" w:type="dxa"/>
            <w:tcBorders>
              <w:top w:val="single" w:sz="4" w:space="0" w:color="auto"/>
              <w:left w:val="single" w:sz="4" w:space="0" w:color="auto"/>
              <w:bottom w:val="single" w:sz="4" w:space="0" w:color="auto"/>
              <w:right w:val="single" w:sz="4" w:space="0" w:color="auto"/>
            </w:tcBorders>
          </w:tcPr>
          <w:p w:rsidR="00763BD7" w:rsidRPr="00763BD7" w:rsidRDefault="00763BD7" w:rsidP="00CA23A9">
            <w:pPr>
              <w:jc w:val="center"/>
              <w:rPr>
                <w:rFonts w:cs="Arial"/>
              </w:rPr>
            </w:pPr>
            <w:r w:rsidRPr="00763BD7">
              <w:rPr>
                <w:rFonts w:cs="Arial"/>
              </w:rPr>
              <w:t>2018/19</w:t>
            </w:r>
          </w:p>
        </w:tc>
        <w:tc>
          <w:tcPr>
            <w:tcW w:w="1768" w:type="dxa"/>
            <w:tcBorders>
              <w:top w:val="single" w:sz="4" w:space="0" w:color="auto"/>
              <w:left w:val="single" w:sz="4" w:space="0" w:color="auto"/>
              <w:bottom w:val="single" w:sz="4" w:space="0" w:color="auto"/>
              <w:right w:val="single" w:sz="4" w:space="0" w:color="auto"/>
            </w:tcBorders>
          </w:tcPr>
          <w:p w:rsidR="00763BD7" w:rsidRPr="00763BD7" w:rsidRDefault="00763BD7" w:rsidP="00315198">
            <w:pPr>
              <w:tabs>
                <w:tab w:val="num" w:pos="1671"/>
              </w:tabs>
              <w:jc w:val="center"/>
              <w:rPr>
                <w:rFonts w:cs="Arial"/>
              </w:rPr>
            </w:pPr>
            <w:r w:rsidRPr="00763BD7">
              <w:rPr>
                <w:rFonts w:cs="Arial"/>
              </w:rPr>
              <w:t>Head of Health Promotion</w:t>
            </w:r>
          </w:p>
        </w:tc>
        <w:tc>
          <w:tcPr>
            <w:tcW w:w="1808"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jc w:val="center"/>
              <w:rPr>
                <w:rFonts w:cs="Arial"/>
              </w:rPr>
            </w:pPr>
            <w:r w:rsidRPr="00763BD7">
              <w:rPr>
                <w:rFonts w:cs="Arial"/>
              </w:rPr>
              <w:t>5</w:t>
            </w:r>
          </w:p>
        </w:tc>
      </w:tr>
      <w:tr w:rsidR="00763BD7" w:rsidRPr="00763BD7" w:rsidTr="00736EC7">
        <w:trPr>
          <w:trHeight w:val="990"/>
        </w:trPr>
        <w:tc>
          <w:tcPr>
            <w:tcW w:w="3085" w:type="dxa"/>
            <w:vMerge/>
            <w:tcBorders>
              <w:left w:val="single" w:sz="4" w:space="0" w:color="auto"/>
              <w:right w:val="single" w:sz="4" w:space="0" w:color="auto"/>
            </w:tcBorders>
            <w:shd w:val="clear" w:color="auto" w:fill="FFFFFF" w:themeFill="background1"/>
          </w:tcPr>
          <w:p w:rsidR="00763BD7" w:rsidRPr="00763BD7" w:rsidRDefault="00763BD7" w:rsidP="00315198">
            <w:pPr>
              <w:shd w:val="clear" w:color="auto" w:fill="FFFFFF"/>
              <w:rPr>
                <w:rFonts w:cs="Arial"/>
              </w:rPr>
            </w:pPr>
          </w:p>
        </w:tc>
        <w:tc>
          <w:tcPr>
            <w:tcW w:w="4111" w:type="dxa"/>
            <w:tcBorders>
              <w:top w:val="single" w:sz="4" w:space="0" w:color="auto"/>
              <w:left w:val="single" w:sz="4" w:space="0" w:color="auto"/>
              <w:bottom w:val="single" w:sz="4" w:space="0" w:color="auto"/>
              <w:right w:val="single" w:sz="4" w:space="0" w:color="auto"/>
            </w:tcBorders>
          </w:tcPr>
          <w:p w:rsidR="00763BD7" w:rsidRPr="00763BD7" w:rsidRDefault="00763BD7" w:rsidP="009470B8">
            <w:pPr>
              <w:shd w:val="clear" w:color="auto" w:fill="FFFFFF"/>
              <w:rPr>
                <w:rFonts w:cs="Arial"/>
              </w:rPr>
            </w:pPr>
            <w:r w:rsidRPr="00763BD7">
              <w:rPr>
                <w:rFonts w:cs="Arial"/>
              </w:rPr>
              <w:t>Review the scope of and uptake of preventative health and wellbeing services by deprived co</w:t>
            </w:r>
            <w:r w:rsidR="009470B8">
              <w:rPr>
                <w:rFonts w:cs="Arial"/>
              </w:rPr>
              <w:t>mmunities and vulnerable groups</w:t>
            </w:r>
            <w:r w:rsidRPr="00763BD7">
              <w:rPr>
                <w:rFonts w:cs="Arial"/>
              </w:rPr>
              <w:t xml:space="preserve"> for example Weigh to Go</w:t>
            </w:r>
            <w:r w:rsidR="009470B8">
              <w:rPr>
                <w:rFonts w:cs="Arial"/>
              </w:rPr>
              <w:t>;</w:t>
            </w:r>
            <w:r w:rsidRPr="00763BD7">
              <w:rPr>
                <w:rFonts w:cs="Arial"/>
              </w:rPr>
              <w:t xml:space="preserve"> Stop Smoking; health screening etc</w:t>
            </w:r>
          </w:p>
        </w:tc>
        <w:tc>
          <w:tcPr>
            <w:tcW w:w="3402" w:type="dxa"/>
            <w:tcBorders>
              <w:top w:val="single" w:sz="4" w:space="0" w:color="auto"/>
              <w:left w:val="single" w:sz="4" w:space="0" w:color="auto"/>
              <w:bottom w:val="single" w:sz="4" w:space="0" w:color="auto"/>
              <w:right w:val="single" w:sz="4" w:space="0" w:color="auto"/>
            </w:tcBorders>
          </w:tcPr>
          <w:p w:rsidR="00763BD7" w:rsidRPr="00763BD7" w:rsidRDefault="00763BD7" w:rsidP="00CA23A9">
            <w:pPr>
              <w:jc w:val="center"/>
              <w:rPr>
                <w:rFonts w:cs="Arial"/>
              </w:rPr>
            </w:pPr>
            <w:r w:rsidRPr="00763BD7">
              <w:rPr>
                <w:rFonts w:cs="Arial"/>
              </w:rPr>
              <w:t>2018/19</w:t>
            </w:r>
          </w:p>
        </w:tc>
        <w:tc>
          <w:tcPr>
            <w:tcW w:w="1768" w:type="dxa"/>
            <w:tcBorders>
              <w:top w:val="single" w:sz="4" w:space="0" w:color="auto"/>
              <w:left w:val="single" w:sz="4" w:space="0" w:color="auto"/>
              <w:bottom w:val="single" w:sz="4" w:space="0" w:color="auto"/>
              <w:right w:val="single" w:sz="4" w:space="0" w:color="auto"/>
            </w:tcBorders>
          </w:tcPr>
          <w:p w:rsidR="00763BD7" w:rsidRPr="00763BD7" w:rsidRDefault="00763BD7" w:rsidP="00315198">
            <w:pPr>
              <w:tabs>
                <w:tab w:val="num" w:pos="1671"/>
              </w:tabs>
              <w:jc w:val="center"/>
              <w:rPr>
                <w:rFonts w:cs="Arial"/>
              </w:rPr>
            </w:pPr>
            <w:r w:rsidRPr="00763BD7">
              <w:rPr>
                <w:rFonts w:cs="Arial"/>
              </w:rPr>
              <w:t>Head of Health Promotion</w:t>
            </w:r>
          </w:p>
        </w:tc>
        <w:tc>
          <w:tcPr>
            <w:tcW w:w="1808"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jc w:val="center"/>
              <w:rPr>
                <w:rFonts w:cs="Arial"/>
              </w:rPr>
            </w:pPr>
            <w:r w:rsidRPr="00763BD7">
              <w:rPr>
                <w:rFonts w:cs="Arial"/>
              </w:rPr>
              <w:t>5</w:t>
            </w:r>
          </w:p>
        </w:tc>
      </w:tr>
      <w:tr w:rsidR="00763BD7" w:rsidRPr="00763BD7" w:rsidTr="009F71A9">
        <w:trPr>
          <w:trHeight w:val="764"/>
        </w:trPr>
        <w:tc>
          <w:tcPr>
            <w:tcW w:w="3085" w:type="dxa"/>
            <w:vMerge/>
            <w:tcBorders>
              <w:left w:val="single" w:sz="4" w:space="0" w:color="auto"/>
              <w:right w:val="single" w:sz="4" w:space="0" w:color="auto"/>
            </w:tcBorders>
            <w:shd w:val="clear" w:color="auto" w:fill="FFFFFF" w:themeFill="background1"/>
          </w:tcPr>
          <w:p w:rsidR="00763BD7" w:rsidRPr="00763BD7" w:rsidRDefault="00763BD7" w:rsidP="00315198">
            <w:pPr>
              <w:shd w:val="clear" w:color="auto" w:fill="FFFFFF"/>
              <w:rPr>
                <w:rFonts w:cs="Arial"/>
              </w:rPr>
            </w:pPr>
          </w:p>
        </w:tc>
        <w:tc>
          <w:tcPr>
            <w:tcW w:w="4111"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shd w:val="clear" w:color="auto" w:fill="FFFFFF"/>
              <w:rPr>
                <w:rFonts w:cs="Arial"/>
              </w:rPr>
            </w:pPr>
            <w:r w:rsidRPr="00763BD7">
              <w:rPr>
                <w:rFonts w:cs="Arial"/>
              </w:rPr>
              <w:t>Develop an anticipatory care programme to provide health check</w:t>
            </w:r>
            <w:r w:rsidR="009470B8">
              <w:rPr>
                <w:rFonts w:cs="Arial"/>
              </w:rPr>
              <w:t>s</w:t>
            </w:r>
            <w:r w:rsidRPr="00763BD7">
              <w:rPr>
                <w:rFonts w:cs="Arial"/>
              </w:rPr>
              <w:t xml:space="preserve"> for vulnerable people</w:t>
            </w:r>
          </w:p>
        </w:tc>
        <w:tc>
          <w:tcPr>
            <w:tcW w:w="3402" w:type="dxa"/>
            <w:tcBorders>
              <w:top w:val="single" w:sz="4" w:space="0" w:color="auto"/>
              <w:left w:val="single" w:sz="4" w:space="0" w:color="auto"/>
              <w:bottom w:val="single" w:sz="4" w:space="0" w:color="auto"/>
              <w:right w:val="single" w:sz="4" w:space="0" w:color="auto"/>
            </w:tcBorders>
          </w:tcPr>
          <w:p w:rsidR="00763BD7" w:rsidRPr="00763BD7" w:rsidRDefault="00763BD7" w:rsidP="00CA23A9">
            <w:pPr>
              <w:jc w:val="center"/>
              <w:rPr>
                <w:rFonts w:cs="Arial"/>
              </w:rPr>
            </w:pPr>
            <w:r w:rsidRPr="00763BD7">
              <w:rPr>
                <w:rFonts w:cs="Arial"/>
              </w:rPr>
              <w:t>2018/19</w:t>
            </w:r>
          </w:p>
        </w:tc>
        <w:tc>
          <w:tcPr>
            <w:tcW w:w="1768" w:type="dxa"/>
            <w:tcBorders>
              <w:top w:val="single" w:sz="4" w:space="0" w:color="auto"/>
              <w:left w:val="single" w:sz="4" w:space="0" w:color="auto"/>
              <w:bottom w:val="single" w:sz="4" w:space="0" w:color="auto"/>
              <w:right w:val="single" w:sz="4" w:space="0" w:color="auto"/>
            </w:tcBorders>
          </w:tcPr>
          <w:p w:rsidR="00763BD7" w:rsidRPr="00763BD7" w:rsidRDefault="00763BD7" w:rsidP="00315198">
            <w:pPr>
              <w:tabs>
                <w:tab w:val="num" w:pos="1671"/>
              </w:tabs>
              <w:jc w:val="center"/>
              <w:rPr>
                <w:rFonts w:cs="Arial"/>
              </w:rPr>
            </w:pPr>
            <w:r w:rsidRPr="00763BD7">
              <w:rPr>
                <w:rFonts w:cs="Arial"/>
              </w:rPr>
              <w:t>Head of Health Promotion</w:t>
            </w:r>
          </w:p>
        </w:tc>
        <w:tc>
          <w:tcPr>
            <w:tcW w:w="1808"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jc w:val="center"/>
              <w:rPr>
                <w:rFonts w:cs="Arial"/>
              </w:rPr>
            </w:pPr>
            <w:r w:rsidRPr="00763BD7">
              <w:rPr>
                <w:rFonts w:cs="Arial"/>
              </w:rPr>
              <w:t>5</w:t>
            </w:r>
          </w:p>
        </w:tc>
      </w:tr>
      <w:tr w:rsidR="00763BD7" w:rsidRPr="00763BD7" w:rsidTr="00736EC7">
        <w:trPr>
          <w:trHeight w:val="990"/>
        </w:trPr>
        <w:tc>
          <w:tcPr>
            <w:tcW w:w="3085" w:type="dxa"/>
            <w:vMerge/>
            <w:tcBorders>
              <w:left w:val="single" w:sz="4" w:space="0" w:color="auto"/>
              <w:right w:val="single" w:sz="4" w:space="0" w:color="auto"/>
            </w:tcBorders>
            <w:shd w:val="clear" w:color="auto" w:fill="FFFFFF" w:themeFill="background1"/>
          </w:tcPr>
          <w:p w:rsidR="00763BD7" w:rsidRPr="00763BD7" w:rsidRDefault="00763BD7" w:rsidP="00315198">
            <w:pPr>
              <w:shd w:val="clear" w:color="auto" w:fill="FFFFFF"/>
              <w:rPr>
                <w:rFonts w:cs="Arial"/>
              </w:rPr>
            </w:pPr>
          </w:p>
        </w:tc>
        <w:tc>
          <w:tcPr>
            <w:tcW w:w="4111" w:type="dxa"/>
            <w:tcBorders>
              <w:top w:val="single" w:sz="4" w:space="0" w:color="auto"/>
              <w:left w:val="single" w:sz="4" w:space="0" w:color="auto"/>
              <w:bottom w:val="single" w:sz="4" w:space="0" w:color="auto"/>
              <w:right w:val="single" w:sz="4" w:space="0" w:color="auto"/>
            </w:tcBorders>
          </w:tcPr>
          <w:p w:rsidR="00763BD7" w:rsidRPr="00763BD7" w:rsidRDefault="00442C69" w:rsidP="00B45DB9">
            <w:pPr>
              <w:shd w:val="clear" w:color="auto" w:fill="FFFFFF"/>
              <w:rPr>
                <w:rFonts w:cs="Arial"/>
              </w:rPr>
            </w:pPr>
            <w:r>
              <w:rPr>
                <w:rFonts w:cs="Arial"/>
              </w:rPr>
              <w:t>Pilot the Primary Care P</w:t>
            </w:r>
            <w:r w:rsidR="00763BD7" w:rsidRPr="00763BD7">
              <w:rPr>
                <w:rFonts w:cs="Arial"/>
              </w:rPr>
              <w:t>hys</w:t>
            </w:r>
            <w:r>
              <w:rPr>
                <w:rFonts w:cs="Arial"/>
              </w:rPr>
              <w:t>ical Activity Prescription I</w:t>
            </w:r>
            <w:r w:rsidR="00763BD7" w:rsidRPr="00763BD7">
              <w:rPr>
                <w:rFonts w:cs="Arial"/>
              </w:rPr>
              <w:t>ntervention and subject to evaluation, extend the coverage of this across localities</w:t>
            </w:r>
          </w:p>
        </w:tc>
        <w:tc>
          <w:tcPr>
            <w:tcW w:w="3402" w:type="dxa"/>
            <w:tcBorders>
              <w:top w:val="single" w:sz="4" w:space="0" w:color="auto"/>
              <w:left w:val="single" w:sz="4" w:space="0" w:color="auto"/>
              <w:bottom w:val="single" w:sz="4" w:space="0" w:color="auto"/>
              <w:right w:val="single" w:sz="4" w:space="0" w:color="auto"/>
            </w:tcBorders>
          </w:tcPr>
          <w:p w:rsidR="00763BD7" w:rsidRPr="00763BD7" w:rsidRDefault="00763BD7" w:rsidP="00CA23A9">
            <w:pPr>
              <w:jc w:val="center"/>
              <w:rPr>
                <w:rFonts w:cs="Arial"/>
              </w:rPr>
            </w:pPr>
            <w:r w:rsidRPr="00763BD7">
              <w:rPr>
                <w:rFonts w:cs="Arial"/>
              </w:rPr>
              <w:t>2018/19</w:t>
            </w:r>
          </w:p>
        </w:tc>
        <w:tc>
          <w:tcPr>
            <w:tcW w:w="1768" w:type="dxa"/>
            <w:tcBorders>
              <w:top w:val="single" w:sz="4" w:space="0" w:color="auto"/>
              <w:left w:val="single" w:sz="4" w:space="0" w:color="auto"/>
              <w:bottom w:val="single" w:sz="4" w:space="0" w:color="auto"/>
              <w:right w:val="single" w:sz="4" w:space="0" w:color="auto"/>
            </w:tcBorders>
          </w:tcPr>
          <w:p w:rsidR="00763BD7" w:rsidRPr="00763BD7" w:rsidRDefault="00763BD7" w:rsidP="00315198">
            <w:pPr>
              <w:tabs>
                <w:tab w:val="num" w:pos="1671"/>
              </w:tabs>
              <w:jc w:val="center"/>
              <w:rPr>
                <w:rFonts w:cs="Arial"/>
              </w:rPr>
            </w:pPr>
            <w:r w:rsidRPr="00763BD7">
              <w:rPr>
                <w:rFonts w:cs="Arial"/>
              </w:rPr>
              <w:t>Head of Health Promotion/</w:t>
            </w:r>
            <w:r w:rsidR="00053771">
              <w:rPr>
                <w:rFonts w:cs="Arial"/>
              </w:rPr>
              <w:t xml:space="preserve"> </w:t>
            </w:r>
            <w:r w:rsidRPr="00763BD7">
              <w:rPr>
                <w:rFonts w:cs="Arial"/>
              </w:rPr>
              <w:t>SLL</w:t>
            </w:r>
            <w:r w:rsidR="00053771">
              <w:rPr>
                <w:rFonts w:cs="Arial"/>
              </w:rPr>
              <w:t>C</w:t>
            </w:r>
          </w:p>
        </w:tc>
        <w:tc>
          <w:tcPr>
            <w:tcW w:w="1808"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jc w:val="center"/>
              <w:rPr>
                <w:rFonts w:cs="Arial"/>
              </w:rPr>
            </w:pPr>
            <w:r w:rsidRPr="00763BD7">
              <w:rPr>
                <w:rFonts w:cs="Arial"/>
              </w:rPr>
              <w:t>5</w:t>
            </w:r>
          </w:p>
        </w:tc>
      </w:tr>
      <w:tr w:rsidR="00763BD7" w:rsidRPr="00763BD7" w:rsidTr="00736EC7">
        <w:trPr>
          <w:trHeight w:val="990"/>
        </w:trPr>
        <w:tc>
          <w:tcPr>
            <w:tcW w:w="3085" w:type="dxa"/>
            <w:vMerge w:val="restart"/>
            <w:tcBorders>
              <w:top w:val="single" w:sz="4" w:space="0" w:color="auto"/>
              <w:left w:val="single" w:sz="4" w:space="0" w:color="auto"/>
              <w:right w:val="single" w:sz="4" w:space="0" w:color="auto"/>
            </w:tcBorders>
            <w:shd w:val="clear" w:color="auto" w:fill="FFFFFF" w:themeFill="background1"/>
          </w:tcPr>
          <w:p w:rsidR="00763BD7" w:rsidRPr="00763BD7" w:rsidRDefault="00763BD7" w:rsidP="00315198">
            <w:pPr>
              <w:pStyle w:val="ListBullet"/>
              <w:numPr>
                <w:ilvl w:val="0"/>
                <w:numId w:val="0"/>
              </w:numPr>
              <w:tabs>
                <w:tab w:val="left" w:pos="720"/>
              </w:tabs>
              <w:rPr>
                <w:rFonts w:ascii="Arial" w:hAnsi="Arial" w:cs="Arial"/>
                <w:sz w:val="22"/>
                <w:szCs w:val="22"/>
              </w:rPr>
            </w:pPr>
            <w:r w:rsidRPr="00763BD7">
              <w:rPr>
                <w:rFonts w:ascii="Arial" w:hAnsi="Arial" w:cs="Arial"/>
                <w:sz w:val="22"/>
                <w:szCs w:val="22"/>
              </w:rPr>
              <w:t xml:space="preserve">Improved financial wellbeing of low income families </w:t>
            </w:r>
            <w:r w:rsidR="00E5241A">
              <w:rPr>
                <w:rFonts w:ascii="Arial" w:hAnsi="Arial" w:cs="Arial"/>
                <w:sz w:val="22"/>
                <w:szCs w:val="22"/>
              </w:rPr>
              <w:t>and vulnerable service users</w:t>
            </w:r>
          </w:p>
          <w:p w:rsidR="00763BD7" w:rsidRPr="00763BD7" w:rsidRDefault="00763BD7" w:rsidP="00315198">
            <w:pPr>
              <w:shd w:val="clear" w:color="auto" w:fill="FFFFFF"/>
              <w:rPr>
                <w:rFonts w:cs="Arial"/>
              </w:rPr>
            </w:pPr>
          </w:p>
        </w:tc>
        <w:tc>
          <w:tcPr>
            <w:tcW w:w="4111"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shd w:val="clear" w:color="auto" w:fill="FFFFFF"/>
              <w:rPr>
                <w:rFonts w:cs="Arial"/>
              </w:rPr>
            </w:pPr>
            <w:r w:rsidRPr="00763BD7">
              <w:rPr>
                <w:rFonts w:cs="Arial"/>
              </w:rPr>
              <w:t>Deliver a programme of activity to mitigate against the negative health consequences of financial insecurity due to poverty and welfare reform</w:t>
            </w:r>
          </w:p>
        </w:tc>
        <w:tc>
          <w:tcPr>
            <w:tcW w:w="3402" w:type="dxa"/>
            <w:tcBorders>
              <w:top w:val="single" w:sz="4" w:space="0" w:color="auto"/>
              <w:left w:val="single" w:sz="4" w:space="0" w:color="auto"/>
              <w:bottom w:val="single" w:sz="4" w:space="0" w:color="auto"/>
              <w:right w:val="single" w:sz="4" w:space="0" w:color="auto"/>
            </w:tcBorders>
          </w:tcPr>
          <w:p w:rsidR="00763BD7" w:rsidRPr="00763BD7" w:rsidRDefault="00763BD7" w:rsidP="00CA23A9">
            <w:pPr>
              <w:jc w:val="center"/>
              <w:rPr>
                <w:rFonts w:cs="Arial"/>
              </w:rPr>
            </w:pPr>
            <w:r w:rsidRPr="00763BD7">
              <w:rPr>
                <w:rFonts w:cs="Arial"/>
              </w:rPr>
              <w:t>2018/19</w:t>
            </w:r>
          </w:p>
        </w:tc>
        <w:tc>
          <w:tcPr>
            <w:tcW w:w="1768" w:type="dxa"/>
            <w:tcBorders>
              <w:top w:val="single" w:sz="4" w:space="0" w:color="auto"/>
              <w:left w:val="single" w:sz="4" w:space="0" w:color="auto"/>
              <w:bottom w:val="single" w:sz="4" w:space="0" w:color="auto"/>
              <w:right w:val="single" w:sz="4" w:space="0" w:color="auto"/>
            </w:tcBorders>
          </w:tcPr>
          <w:p w:rsidR="00763BD7" w:rsidRPr="00763BD7" w:rsidRDefault="00763BD7" w:rsidP="00315198">
            <w:pPr>
              <w:tabs>
                <w:tab w:val="num" w:pos="1671"/>
              </w:tabs>
              <w:jc w:val="center"/>
              <w:rPr>
                <w:rFonts w:cs="Arial"/>
              </w:rPr>
            </w:pPr>
            <w:r w:rsidRPr="00763BD7">
              <w:rPr>
                <w:rFonts w:cs="Arial"/>
              </w:rPr>
              <w:t>Head of Health Promotion</w:t>
            </w:r>
          </w:p>
        </w:tc>
        <w:tc>
          <w:tcPr>
            <w:tcW w:w="1808"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jc w:val="center"/>
              <w:rPr>
                <w:rFonts w:cs="Arial"/>
              </w:rPr>
            </w:pPr>
            <w:r w:rsidRPr="00763BD7">
              <w:rPr>
                <w:rFonts w:cs="Arial"/>
              </w:rPr>
              <w:t>1, 5</w:t>
            </w:r>
          </w:p>
        </w:tc>
      </w:tr>
      <w:tr w:rsidR="00763BD7" w:rsidRPr="00763BD7" w:rsidTr="00736EC7">
        <w:trPr>
          <w:trHeight w:val="990"/>
        </w:trPr>
        <w:tc>
          <w:tcPr>
            <w:tcW w:w="3085" w:type="dxa"/>
            <w:vMerge/>
            <w:tcBorders>
              <w:left w:val="single" w:sz="4" w:space="0" w:color="auto"/>
              <w:right w:val="single" w:sz="4" w:space="0" w:color="auto"/>
            </w:tcBorders>
            <w:shd w:val="clear" w:color="auto" w:fill="FFFFFF" w:themeFill="background1"/>
          </w:tcPr>
          <w:p w:rsidR="00763BD7" w:rsidRPr="00763BD7" w:rsidRDefault="00763BD7" w:rsidP="00B45DB9">
            <w:pPr>
              <w:pStyle w:val="ListBullet"/>
              <w:numPr>
                <w:ilvl w:val="0"/>
                <w:numId w:val="0"/>
              </w:numPr>
              <w:tabs>
                <w:tab w:val="left" w:pos="720"/>
              </w:tabs>
              <w:spacing w:line="276" w:lineRule="auto"/>
              <w:rPr>
                <w:rFonts w:ascii="Arial" w:hAnsi="Arial"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rsidR="00763BD7" w:rsidRPr="00763BD7" w:rsidRDefault="00E5241A" w:rsidP="00B45DB9">
            <w:pPr>
              <w:tabs>
                <w:tab w:val="num" w:pos="1671"/>
              </w:tabs>
              <w:rPr>
                <w:rFonts w:cs="Arial"/>
                <w:color w:val="FF0000"/>
              </w:rPr>
            </w:pPr>
            <w:r>
              <w:rPr>
                <w:rFonts w:cs="Arial"/>
              </w:rPr>
              <w:t xml:space="preserve">Develop and deliver </w:t>
            </w:r>
            <w:r w:rsidR="00763BD7" w:rsidRPr="00763BD7">
              <w:rPr>
                <w:rFonts w:cs="Arial"/>
              </w:rPr>
              <w:t xml:space="preserve">the scaling up of existing financial </w:t>
            </w:r>
            <w:r>
              <w:rPr>
                <w:rFonts w:cs="Arial"/>
              </w:rPr>
              <w:t>wellbeing partnership activity</w:t>
            </w:r>
            <w:r w:rsidR="00763BD7" w:rsidRPr="00763BD7">
              <w:rPr>
                <w:rFonts w:cs="Arial"/>
              </w:rPr>
              <w:t xml:space="preserve">. </w:t>
            </w:r>
            <w:r>
              <w:rPr>
                <w:rFonts w:cs="Arial"/>
              </w:rPr>
              <w:t xml:space="preserve"> </w:t>
            </w:r>
            <w:r w:rsidR="00763BD7" w:rsidRPr="00763BD7">
              <w:rPr>
                <w:rFonts w:cs="Arial"/>
              </w:rPr>
              <w:t>Will require consideration of target groups; resources; delivery partners</w:t>
            </w:r>
          </w:p>
        </w:tc>
        <w:tc>
          <w:tcPr>
            <w:tcW w:w="3402" w:type="dxa"/>
            <w:tcBorders>
              <w:top w:val="single" w:sz="4" w:space="0" w:color="auto"/>
              <w:left w:val="single" w:sz="4" w:space="0" w:color="auto"/>
              <w:bottom w:val="single" w:sz="4" w:space="0" w:color="auto"/>
              <w:right w:val="single" w:sz="4" w:space="0" w:color="auto"/>
            </w:tcBorders>
          </w:tcPr>
          <w:p w:rsidR="00763BD7" w:rsidRPr="00763BD7" w:rsidRDefault="00763BD7" w:rsidP="00CA23A9">
            <w:pPr>
              <w:jc w:val="center"/>
              <w:rPr>
                <w:rFonts w:cs="Arial"/>
              </w:rPr>
            </w:pPr>
            <w:r w:rsidRPr="00763BD7">
              <w:rPr>
                <w:rFonts w:cs="Arial"/>
              </w:rPr>
              <w:t>2018/19</w:t>
            </w:r>
          </w:p>
        </w:tc>
        <w:tc>
          <w:tcPr>
            <w:tcW w:w="1768" w:type="dxa"/>
            <w:tcBorders>
              <w:top w:val="single" w:sz="4" w:space="0" w:color="auto"/>
              <w:left w:val="single" w:sz="4" w:space="0" w:color="auto"/>
              <w:bottom w:val="single" w:sz="4" w:space="0" w:color="auto"/>
              <w:right w:val="single" w:sz="4" w:space="0" w:color="auto"/>
            </w:tcBorders>
          </w:tcPr>
          <w:p w:rsidR="00763BD7" w:rsidRPr="00763BD7" w:rsidRDefault="00763BD7" w:rsidP="00315198">
            <w:pPr>
              <w:tabs>
                <w:tab w:val="num" w:pos="1671"/>
              </w:tabs>
              <w:jc w:val="center"/>
              <w:rPr>
                <w:rFonts w:cs="Arial"/>
              </w:rPr>
            </w:pPr>
            <w:r w:rsidRPr="00763BD7">
              <w:rPr>
                <w:rFonts w:cs="Arial"/>
              </w:rPr>
              <w:t>Head of Health Promotion</w:t>
            </w:r>
          </w:p>
        </w:tc>
        <w:tc>
          <w:tcPr>
            <w:tcW w:w="1808"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jc w:val="center"/>
              <w:rPr>
                <w:rFonts w:cs="Arial"/>
              </w:rPr>
            </w:pPr>
            <w:r w:rsidRPr="00763BD7">
              <w:rPr>
                <w:rFonts w:cs="Arial"/>
              </w:rPr>
              <w:t>1, 5</w:t>
            </w:r>
          </w:p>
        </w:tc>
      </w:tr>
      <w:tr w:rsidR="00763BD7" w:rsidRPr="00763BD7" w:rsidTr="00736EC7">
        <w:trPr>
          <w:trHeight w:val="990"/>
        </w:trPr>
        <w:tc>
          <w:tcPr>
            <w:tcW w:w="3085" w:type="dxa"/>
            <w:vMerge/>
            <w:tcBorders>
              <w:left w:val="single" w:sz="4" w:space="0" w:color="auto"/>
              <w:right w:val="single" w:sz="4" w:space="0" w:color="auto"/>
            </w:tcBorders>
            <w:shd w:val="clear" w:color="auto" w:fill="FFFFFF" w:themeFill="background1"/>
          </w:tcPr>
          <w:p w:rsidR="00763BD7" w:rsidRPr="00763BD7" w:rsidRDefault="00763BD7" w:rsidP="00B45DB9">
            <w:pPr>
              <w:pStyle w:val="ListBullet"/>
              <w:numPr>
                <w:ilvl w:val="0"/>
                <w:numId w:val="0"/>
              </w:numPr>
              <w:tabs>
                <w:tab w:val="left" w:pos="720"/>
              </w:tabs>
              <w:spacing w:line="276" w:lineRule="auto"/>
              <w:rPr>
                <w:rFonts w:ascii="Arial" w:hAnsi="Arial"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rsidR="00763BD7" w:rsidRPr="00763BD7" w:rsidRDefault="00763BD7" w:rsidP="00442C69">
            <w:pPr>
              <w:shd w:val="clear" w:color="auto" w:fill="FFFFFF"/>
              <w:rPr>
                <w:rFonts w:cs="Arial"/>
                <w:highlight w:val="yellow"/>
              </w:rPr>
            </w:pPr>
            <w:r w:rsidRPr="00763BD7">
              <w:rPr>
                <w:rFonts w:cs="Arial"/>
              </w:rPr>
              <w:t xml:space="preserve">Develop and deliver associated training/awareness raising activity to embed consideration of financial wellbeing in </w:t>
            </w:r>
            <w:r w:rsidR="00442C69">
              <w:rPr>
                <w:rFonts w:cs="Arial"/>
              </w:rPr>
              <w:t>Health and Care S</w:t>
            </w:r>
            <w:r w:rsidRPr="00763BD7">
              <w:rPr>
                <w:rFonts w:cs="Arial"/>
              </w:rPr>
              <w:t>ervices</w:t>
            </w:r>
          </w:p>
        </w:tc>
        <w:tc>
          <w:tcPr>
            <w:tcW w:w="3402" w:type="dxa"/>
            <w:tcBorders>
              <w:top w:val="single" w:sz="4" w:space="0" w:color="auto"/>
              <w:left w:val="single" w:sz="4" w:space="0" w:color="auto"/>
              <w:bottom w:val="single" w:sz="4" w:space="0" w:color="auto"/>
              <w:right w:val="single" w:sz="4" w:space="0" w:color="auto"/>
            </w:tcBorders>
          </w:tcPr>
          <w:p w:rsidR="00763BD7" w:rsidRPr="00763BD7" w:rsidRDefault="00763BD7" w:rsidP="00CA23A9">
            <w:pPr>
              <w:jc w:val="center"/>
              <w:rPr>
                <w:rFonts w:cs="Arial"/>
              </w:rPr>
            </w:pPr>
            <w:r w:rsidRPr="00763BD7">
              <w:rPr>
                <w:rFonts w:cs="Arial"/>
              </w:rPr>
              <w:t>2018/19</w:t>
            </w:r>
          </w:p>
        </w:tc>
        <w:tc>
          <w:tcPr>
            <w:tcW w:w="1768" w:type="dxa"/>
            <w:tcBorders>
              <w:top w:val="single" w:sz="4" w:space="0" w:color="auto"/>
              <w:left w:val="single" w:sz="4" w:space="0" w:color="auto"/>
              <w:bottom w:val="single" w:sz="4" w:space="0" w:color="auto"/>
              <w:right w:val="single" w:sz="4" w:space="0" w:color="auto"/>
            </w:tcBorders>
          </w:tcPr>
          <w:p w:rsidR="00763BD7" w:rsidRPr="00763BD7" w:rsidRDefault="00763BD7" w:rsidP="00315198">
            <w:pPr>
              <w:tabs>
                <w:tab w:val="num" w:pos="1671"/>
              </w:tabs>
              <w:jc w:val="center"/>
              <w:rPr>
                <w:rFonts w:cs="Arial"/>
              </w:rPr>
            </w:pPr>
            <w:r w:rsidRPr="00763BD7">
              <w:rPr>
                <w:rFonts w:cs="Arial"/>
              </w:rPr>
              <w:t>Head of Health Promotion</w:t>
            </w:r>
          </w:p>
        </w:tc>
        <w:tc>
          <w:tcPr>
            <w:tcW w:w="1808"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jc w:val="center"/>
              <w:rPr>
                <w:rFonts w:cs="Arial"/>
              </w:rPr>
            </w:pPr>
            <w:r w:rsidRPr="00763BD7">
              <w:rPr>
                <w:rFonts w:cs="Arial"/>
              </w:rPr>
              <w:t>1, 5</w:t>
            </w:r>
          </w:p>
        </w:tc>
      </w:tr>
      <w:tr w:rsidR="00763BD7" w:rsidRPr="00763BD7" w:rsidTr="00736EC7">
        <w:trPr>
          <w:trHeight w:val="990"/>
        </w:trPr>
        <w:tc>
          <w:tcPr>
            <w:tcW w:w="3085" w:type="dxa"/>
            <w:vMerge w:val="restart"/>
            <w:tcBorders>
              <w:top w:val="single" w:sz="4" w:space="0" w:color="auto"/>
              <w:left w:val="single" w:sz="4" w:space="0" w:color="auto"/>
              <w:right w:val="single" w:sz="4" w:space="0" w:color="auto"/>
            </w:tcBorders>
            <w:shd w:val="clear" w:color="auto" w:fill="FFFFFF" w:themeFill="background1"/>
          </w:tcPr>
          <w:p w:rsidR="00763BD7" w:rsidRPr="00763BD7" w:rsidRDefault="00763BD7" w:rsidP="00315198">
            <w:pPr>
              <w:pStyle w:val="ListBullet"/>
              <w:numPr>
                <w:ilvl w:val="0"/>
                <w:numId w:val="0"/>
              </w:numPr>
              <w:tabs>
                <w:tab w:val="left" w:pos="720"/>
              </w:tabs>
              <w:rPr>
                <w:rFonts w:ascii="Arial" w:hAnsi="Arial" w:cs="Arial"/>
                <w:sz w:val="22"/>
                <w:szCs w:val="22"/>
              </w:rPr>
            </w:pPr>
            <w:r w:rsidRPr="00763BD7">
              <w:rPr>
                <w:rFonts w:ascii="Arial" w:hAnsi="Arial" w:cs="Arial"/>
                <w:sz w:val="22"/>
                <w:szCs w:val="22"/>
              </w:rPr>
              <w:t xml:space="preserve">More people are able to look after and improve their own health and wellbeing through self-care and self-management </w:t>
            </w:r>
          </w:p>
        </w:tc>
        <w:tc>
          <w:tcPr>
            <w:tcW w:w="4111"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rPr>
                <w:rFonts w:cs="Arial"/>
              </w:rPr>
            </w:pPr>
            <w:r w:rsidRPr="00763BD7">
              <w:rPr>
                <w:rFonts w:cs="Arial"/>
              </w:rPr>
              <w:t>Identify associated improvement actions, including consideration of how community facilities and integrated approaches can be used to improve accessibility and uptake</w:t>
            </w:r>
          </w:p>
        </w:tc>
        <w:tc>
          <w:tcPr>
            <w:tcW w:w="3402" w:type="dxa"/>
            <w:tcBorders>
              <w:top w:val="single" w:sz="4" w:space="0" w:color="auto"/>
              <w:left w:val="single" w:sz="4" w:space="0" w:color="auto"/>
              <w:bottom w:val="single" w:sz="4" w:space="0" w:color="auto"/>
              <w:right w:val="single" w:sz="4" w:space="0" w:color="auto"/>
            </w:tcBorders>
          </w:tcPr>
          <w:p w:rsidR="00763BD7" w:rsidRPr="00763BD7" w:rsidRDefault="00763BD7" w:rsidP="00CA23A9">
            <w:pPr>
              <w:jc w:val="center"/>
              <w:rPr>
                <w:rFonts w:cs="Arial"/>
              </w:rPr>
            </w:pPr>
            <w:r w:rsidRPr="00763BD7">
              <w:rPr>
                <w:rFonts w:cs="Arial"/>
              </w:rPr>
              <w:t>2018/19</w:t>
            </w:r>
          </w:p>
        </w:tc>
        <w:tc>
          <w:tcPr>
            <w:tcW w:w="1768" w:type="dxa"/>
            <w:tcBorders>
              <w:top w:val="single" w:sz="4" w:space="0" w:color="auto"/>
              <w:left w:val="single" w:sz="4" w:space="0" w:color="auto"/>
              <w:bottom w:val="single" w:sz="4" w:space="0" w:color="auto"/>
              <w:right w:val="single" w:sz="4" w:space="0" w:color="auto"/>
            </w:tcBorders>
          </w:tcPr>
          <w:p w:rsidR="00763BD7" w:rsidRPr="00763BD7" w:rsidRDefault="00763BD7" w:rsidP="00315198">
            <w:pPr>
              <w:tabs>
                <w:tab w:val="num" w:pos="1671"/>
              </w:tabs>
              <w:jc w:val="center"/>
              <w:rPr>
                <w:rFonts w:cs="Arial"/>
              </w:rPr>
            </w:pPr>
            <w:r w:rsidRPr="00763BD7">
              <w:rPr>
                <w:rFonts w:cs="Arial"/>
              </w:rPr>
              <w:t>Head of Health Promotion</w:t>
            </w:r>
          </w:p>
        </w:tc>
        <w:tc>
          <w:tcPr>
            <w:tcW w:w="1808"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jc w:val="center"/>
              <w:rPr>
                <w:rFonts w:cs="Arial"/>
              </w:rPr>
            </w:pPr>
            <w:r w:rsidRPr="00763BD7">
              <w:rPr>
                <w:rFonts w:cs="Arial"/>
              </w:rPr>
              <w:t>5</w:t>
            </w:r>
          </w:p>
        </w:tc>
      </w:tr>
      <w:tr w:rsidR="00763BD7" w:rsidRPr="00763BD7" w:rsidTr="00736EC7">
        <w:trPr>
          <w:trHeight w:val="990"/>
        </w:trPr>
        <w:tc>
          <w:tcPr>
            <w:tcW w:w="3085" w:type="dxa"/>
            <w:vMerge/>
            <w:tcBorders>
              <w:left w:val="single" w:sz="4" w:space="0" w:color="auto"/>
              <w:right w:val="single" w:sz="4" w:space="0" w:color="auto"/>
            </w:tcBorders>
            <w:shd w:val="clear" w:color="auto" w:fill="FFFFFF" w:themeFill="background1"/>
          </w:tcPr>
          <w:p w:rsidR="00763BD7" w:rsidRPr="00763BD7" w:rsidRDefault="00763BD7" w:rsidP="00315198">
            <w:pPr>
              <w:pStyle w:val="ListBullet"/>
              <w:numPr>
                <w:ilvl w:val="0"/>
                <w:numId w:val="0"/>
              </w:numPr>
              <w:tabs>
                <w:tab w:val="left" w:pos="720"/>
              </w:tabs>
              <w:rPr>
                <w:rFonts w:ascii="Arial" w:hAnsi="Arial"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rsidR="00763BD7" w:rsidRPr="00763BD7" w:rsidRDefault="00442C69" w:rsidP="00B45DB9">
            <w:pPr>
              <w:tabs>
                <w:tab w:val="num" w:pos="1671"/>
              </w:tabs>
              <w:rPr>
                <w:rFonts w:cs="Arial"/>
              </w:rPr>
            </w:pPr>
            <w:r>
              <w:rPr>
                <w:rFonts w:cs="Arial"/>
              </w:rPr>
              <w:t>Develop Telehealth and T</w:t>
            </w:r>
            <w:r w:rsidR="00763BD7" w:rsidRPr="00763BD7">
              <w:rPr>
                <w:rFonts w:cs="Arial"/>
              </w:rPr>
              <w:t>elecare approaches and community awareness and take up of these in the most deprived areas and across vulnerable groups</w:t>
            </w:r>
          </w:p>
        </w:tc>
        <w:tc>
          <w:tcPr>
            <w:tcW w:w="3402" w:type="dxa"/>
            <w:tcBorders>
              <w:top w:val="single" w:sz="4" w:space="0" w:color="auto"/>
              <w:left w:val="single" w:sz="4" w:space="0" w:color="auto"/>
              <w:bottom w:val="single" w:sz="4" w:space="0" w:color="auto"/>
              <w:right w:val="single" w:sz="4" w:space="0" w:color="auto"/>
            </w:tcBorders>
          </w:tcPr>
          <w:p w:rsidR="00763BD7" w:rsidRPr="00763BD7" w:rsidRDefault="00763BD7" w:rsidP="00CA23A9">
            <w:pPr>
              <w:jc w:val="center"/>
              <w:rPr>
                <w:rFonts w:cs="Arial"/>
              </w:rPr>
            </w:pPr>
            <w:r w:rsidRPr="00763BD7">
              <w:rPr>
                <w:rFonts w:cs="Arial"/>
              </w:rPr>
              <w:t>2018/19</w:t>
            </w:r>
          </w:p>
        </w:tc>
        <w:tc>
          <w:tcPr>
            <w:tcW w:w="1768" w:type="dxa"/>
            <w:tcBorders>
              <w:top w:val="single" w:sz="4" w:space="0" w:color="auto"/>
              <w:left w:val="single" w:sz="4" w:space="0" w:color="auto"/>
              <w:bottom w:val="single" w:sz="4" w:space="0" w:color="auto"/>
              <w:right w:val="single" w:sz="4" w:space="0" w:color="auto"/>
            </w:tcBorders>
          </w:tcPr>
          <w:p w:rsidR="00763BD7" w:rsidRPr="00763BD7" w:rsidRDefault="00763BD7" w:rsidP="00315198">
            <w:pPr>
              <w:tabs>
                <w:tab w:val="num" w:pos="1671"/>
              </w:tabs>
              <w:jc w:val="center"/>
              <w:rPr>
                <w:rFonts w:cs="Arial"/>
              </w:rPr>
            </w:pPr>
            <w:r w:rsidRPr="00763BD7">
              <w:rPr>
                <w:rFonts w:cs="Arial"/>
              </w:rPr>
              <w:t>Head of Health and Social Care</w:t>
            </w:r>
          </w:p>
        </w:tc>
        <w:tc>
          <w:tcPr>
            <w:tcW w:w="1808"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jc w:val="center"/>
              <w:rPr>
                <w:rFonts w:cs="Arial"/>
              </w:rPr>
            </w:pPr>
            <w:r w:rsidRPr="00763BD7">
              <w:rPr>
                <w:rFonts w:cs="Arial"/>
              </w:rPr>
              <w:t>5</w:t>
            </w:r>
          </w:p>
        </w:tc>
      </w:tr>
      <w:tr w:rsidR="00763BD7" w:rsidRPr="00763BD7" w:rsidTr="00736EC7">
        <w:trPr>
          <w:trHeight w:val="990"/>
        </w:trPr>
        <w:tc>
          <w:tcPr>
            <w:tcW w:w="3085" w:type="dxa"/>
            <w:vMerge/>
            <w:tcBorders>
              <w:left w:val="single" w:sz="4" w:space="0" w:color="auto"/>
              <w:right w:val="single" w:sz="4" w:space="0" w:color="auto"/>
            </w:tcBorders>
            <w:shd w:val="clear" w:color="auto" w:fill="FFFFFF" w:themeFill="background1"/>
          </w:tcPr>
          <w:p w:rsidR="00763BD7" w:rsidRPr="00763BD7" w:rsidRDefault="00763BD7" w:rsidP="00315198">
            <w:pPr>
              <w:pStyle w:val="ListBullet"/>
              <w:numPr>
                <w:ilvl w:val="0"/>
                <w:numId w:val="0"/>
              </w:numPr>
              <w:tabs>
                <w:tab w:val="left" w:pos="720"/>
              </w:tabs>
              <w:rPr>
                <w:rFonts w:ascii="Arial" w:hAnsi="Arial" w:cs="Arial"/>
                <w:b/>
                <w:sz w:val="22"/>
                <w:szCs w:val="22"/>
              </w:rPr>
            </w:pPr>
          </w:p>
        </w:tc>
        <w:tc>
          <w:tcPr>
            <w:tcW w:w="4111"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rPr>
                <w:rFonts w:cs="Arial"/>
              </w:rPr>
            </w:pPr>
            <w:r w:rsidRPr="00763BD7">
              <w:rPr>
                <w:rFonts w:cs="Arial"/>
              </w:rPr>
              <w:t xml:space="preserve">Continue to </w:t>
            </w:r>
            <w:r w:rsidR="00442C69">
              <w:rPr>
                <w:rFonts w:cs="Arial"/>
              </w:rPr>
              <w:t>deliver evidence based, robust p</w:t>
            </w:r>
            <w:r w:rsidRPr="00763BD7">
              <w:rPr>
                <w:rFonts w:cs="Arial"/>
              </w:rPr>
              <w:t>artnership health intervention initiatives in line with the population need, ensuring access for all</w:t>
            </w:r>
          </w:p>
        </w:tc>
        <w:tc>
          <w:tcPr>
            <w:tcW w:w="3402" w:type="dxa"/>
            <w:tcBorders>
              <w:top w:val="single" w:sz="4" w:space="0" w:color="auto"/>
              <w:left w:val="single" w:sz="4" w:space="0" w:color="auto"/>
              <w:bottom w:val="single" w:sz="4" w:space="0" w:color="auto"/>
              <w:right w:val="single" w:sz="4" w:space="0" w:color="auto"/>
            </w:tcBorders>
          </w:tcPr>
          <w:p w:rsidR="00763BD7" w:rsidRPr="00763BD7" w:rsidRDefault="00763BD7" w:rsidP="00CA23A9">
            <w:pPr>
              <w:jc w:val="center"/>
              <w:rPr>
                <w:rFonts w:cs="Arial"/>
              </w:rPr>
            </w:pPr>
            <w:r w:rsidRPr="00763BD7">
              <w:rPr>
                <w:rFonts w:cs="Arial"/>
              </w:rPr>
              <w:t>2018/19</w:t>
            </w:r>
          </w:p>
        </w:tc>
        <w:tc>
          <w:tcPr>
            <w:tcW w:w="1768" w:type="dxa"/>
            <w:tcBorders>
              <w:top w:val="single" w:sz="4" w:space="0" w:color="auto"/>
              <w:left w:val="single" w:sz="4" w:space="0" w:color="auto"/>
              <w:bottom w:val="single" w:sz="4" w:space="0" w:color="auto"/>
              <w:right w:val="single" w:sz="4" w:space="0" w:color="auto"/>
            </w:tcBorders>
          </w:tcPr>
          <w:p w:rsidR="00763BD7" w:rsidRPr="00763BD7" w:rsidRDefault="00763BD7" w:rsidP="00315198">
            <w:pPr>
              <w:tabs>
                <w:tab w:val="num" w:pos="1671"/>
              </w:tabs>
              <w:jc w:val="center"/>
              <w:rPr>
                <w:rFonts w:cs="Arial"/>
              </w:rPr>
            </w:pPr>
            <w:r w:rsidRPr="00763BD7">
              <w:rPr>
                <w:rFonts w:cs="Arial"/>
              </w:rPr>
              <w:t>Head of Health Promotion</w:t>
            </w:r>
          </w:p>
        </w:tc>
        <w:tc>
          <w:tcPr>
            <w:tcW w:w="1808"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jc w:val="center"/>
              <w:rPr>
                <w:rFonts w:cs="Arial"/>
              </w:rPr>
            </w:pPr>
            <w:r w:rsidRPr="00763BD7">
              <w:rPr>
                <w:rFonts w:cs="Arial"/>
              </w:rPr>
              <w:t>5</w:t>
            </w:r>
          </w:p>
        </w:tc>
      </w:tr>
      <w:tr w:rsidR="00763BD7" w:rsidRPr="00763BD7" w:rsidTr="00736EC7">
        <w:trPr>
          <w:trHeight w:val="990"/>
        </w:trPr>
        <w:tc>
          <w:tcPr>
            <w:tcW w:w="3085" w:type="dxa"/>
            <w:tcBorders>
              <w:left w:val="single" w:sz="4" w:space="0" w:color="auto"/>
              <w:right w:val="single" w:sz="4" w:space="0" w:color="auto"/>
            </w:tcBorders>
            <w:shd w:val="clear" w:color="auto" w:fill="FFFFFF" w:themeFill="background1"/>
          </w:tcPr>
          <w:p w:rsidR="00763BD7" w:rsidRPr="00763BD7" w:rsidRDefault="00763BD7" w:rsidP="00315198">
            <w:pPr>
              <w:pStyle w:val="ListBullet"/>
              <w:numPr>
                <w:ilvl w:val="0"/>
                <w:numId w:val="0"/>
              </w:numPr>
              <w:tabs>
                <w:tab w:val="left" w:pos="720"/>
              </w:tabs>
              <w:rPr>
                <w:rFonts w:ascii="Arial" w:hAnsi="Arial" w:cs="Arial"/>
                <w:sz w:val="22"/>
                <w:szCs w:val="22"/>
              </w:rPr>
            </w:pPr>
            <w:r w:rsidRPr="00763BD7">
              <w:rPr>
                <w:rFonts w:ascii="Arial" w:hAnsi="Arial" w:cs="Arial"/>
                <w:sz w:val="22"/>
                <w:szCs w:val="22"/>
              </w:rPr>
              <w:t>Better coordinated and seamless services for people affected by substance misuse</w:t>
            </w:r>
          </w:p>
        </w:tc>
        <w:tc>
          <w:tcPr>
            <w:tcW w:w="4111"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rPr>
                <w:rFonts w:cs="Arial"/>
              </w:rPr>
            </w:pPr>
            <w:r w:rsidRPr="00763BD7">
              <w:rPr>
                <w:rFonts w:cs="Arial"/>
              </w:rPr>
              <w:t>Implement a fully integrated model of substance misuse based on a single system management and operational delivery</w:t>
            </w:r>
          </w:p>
        </w:tc>
        <w:tc>
          <w:tcPr>
            <w:tcW w:w="3402" w:type="dxa"/>
            <w:tcBorders>
              <w:top w:val="single" w:sz="4" w:space="0" w:color="auto"/>
              <w:left w:val="single" w:sz="4" w:space="0" w:color="auto"/>
              <w:bottom w:val="single" w:sz="4" w:space="0" w:color="auto"/>
              <w:right w:val="single" w:sz="4" w:space="0" w:color="auto"/>
            </w:tcBorders>
          </w:tcPr>
          <w:p w:rsidR="00763BD7" w:rsidRPr="00763BD7" w:rsidRDefault="00763BD7" w:rsidP="00CA23A9">
            <w:pPr>
              <w:jc w:val="center"/>
              <w:rPr>
                <w:rFonts w:cs="Arial"/>
              </w:rPr>
            </w:pPr>
            <w:r w:rsidRPr="00763BD7">
              <w:rPr>
                <w:rFonts w:cs="Arial"/>
              </w:rPr>
              <w:t>2018/19</w:t>
            </w:r>
          </w:p>
        </w:tc>
        <w:tc>
          <w:tcPr>
            <w:tcW w:w="1768" w:type="dxa"/>
            <w:tcBorders>
              <w:top w:val="single" w:sz="4" w:space="0" w:color="auto"/>
              <w:left w:val="single" w:sz="4" w:space="0" w:color="auto"/>
              <w:bottom w:val="single" w:sz="4" w:space="0" w:color="auto"/>
              <w:right w:val="single" w:sz="4" w:space="0" w:color="auto"/>
            </w:tcBorders>
          </w:tcPr>
          <w:p w:rsidR="00763BD7" w:rsidRPr="00763BD7" w:rsidRDefault="00763BD7" w:rsidP="00315198">
            <w:pPr>
              <w:tabs>
                <w:tab w:val="num" w:pos="1671"/>
              </w:tabs>
              <w:jc w:val="center"/>
              <w:rPr>
                <w:rFonts w:cs="Arial"/>
              </w:rPr>
            </w:pPr>
            <w:r w:rsidRPr="00763BD7">
              <w:rPr>
                <w:rFonts w:cs="Arial"/>
              </w:rPr>
              <w:t>Head of Children and Justice</w:t>
            </w:r>
          </w:p>
        </w:tc>
        <w:tc>
          <w:tcPr>
            <w:tcW w:w="1808" w:type="dxa"/>
            <w:tcBorders>
              <w:top w:val="single" w:sz="4" w:space="0" w:color="auto"/>
              <w:left w:val="single" w:sz="4" w:space="0" w:color="auto"/>
              <w:bottom w:val="single" w:sz="4" w:space="0" w:color="auto"/>
              <w:right w:val="single" w:sz="4" w:space="0" w:color="auto"/>
            </w:tcBorders>
          </w:tcPr>
          <w:p w:rsidR="00763BD7" w:rsidRPr="00763BD7" w:rsidRDefault="00763BD7" w:rsidP="00B45DB9">
            <w:pPr>
              <w:tabs>
                <w:tab w:val="num" w:pos="1671"/>
              </w:tabs>
              <w:jc w:val="center"/>
              <w:rPr>
                <w:rFonts w:cs="Arial"/>
              </w:rPr>
            </w:pPr>
            <w:r w:rsidRPr="00763BD7">
              <w:rPr>
                <w:rFonts w:cs="Arial"/>
              </w:rPr>
              <w:t>5</w:t>
            </w:r>
          </w:p>
        </w:tc>
      </w:tr>
    </w:tbl>
    <w:p w:rsidR="009F71A9" w:rsidRDefault="009F71A9" w:rsidP="009F71A9">
      <w:pPr>
        <w:pStyle w:val="ListParagraph"/>
        <w:ind w:left="0"/>
        <w:rPr>
          <w:rFonts w:cs="Arial"/>
          <w:b/>
        </w:rPr>
      </w:pPr>
    </w:p>
    <w:p w:rsidR="007F07F4" w:rsidRDefault="007F07F4" w:rsidP="009F71A9">
      <w:pPr>
        <w:pStyle w:val="ListParagraph"/>
        <w:ind w:left="0"/>
        <w:rPr>
          <w:rFonts w:cs="Arial"/>
          <w:b/>
        </w:rPr>
      </w:pPr>
    </w:p>
    <w:p w:rsidR="00870AD6" w:rsidRPr="00CA61BB" w:rsidRDefault="00870AD6" w:rsidP="000B34A2">
      <w:pPr>
        <w:pStyle w:val="ListParagraph"/>
        <w:numPr>
          <w:ilvl w:val="0"/>
          <w:numId w:val="5"/>
        </w:numPr>
        <w:ind w:left="0" w:firstLine="0"/>
        <w:rPr>
          <w:rFonts w:cs="Arial"/>
          <w:b/>
        </w:rPr>
      </w:pPr>
      <w:r w:rsidRPr="00CA61BB">
        <w:rPr>
          <w:rFonts w:cs="Arial"/>
          <w:b/>
        </w:rPr>
        <w:t>Family focused inc</w:t>
      </w:r>
      <w:r w:rsidR="009E3C42">
        <w:rPr>
          <w:rFonts w:cs="Arial"/>
          <w:b/>
        </w:rPr>
        <w:t>lusion strategy</w:t>
      </w:r>
      <w:r w:rsidR="009E3C42">
        <w:rPr>
          <w:rFonts w:cs="Arial"/>
          <w:b/>
        </w:rPr>
        <w:tab/>
      </w:r>
      <w:r w:rsidR="009E3C42">
        <w:rPr>
          <w:rFonts w:cs="Arial"/>
          <w:b/>
        </w:rPr>
        <w:tab/>
      </w:r>
      <w:r w:rsidR="009E3C42">
        <w:rPr>
          <w:rFonts w:cs="Arial"/>
          <w:b/>
        </w:rPr>
        <w:tab/>
      </w:r>
      <w:r w:rsidR="009E3C42">
        <w:rPr>
          <w:rFonts w:cs="Arial"/>
          <w:b/>
        </w:rPr>
        <w:tab/>
      </w:r>
      <w:r w:rsidR="009E3C42">
        <w:rPr>
          <w:rFonts w:cs="Arial"/>
          <w:b/>
        </w:rPr>
        <w:tab/>
        <w:t>5</w:t>
      </w:r>
      <w:r w:rsidR="009E3C42">
        <w:rPr>
          <w:rFonts w:cs="Arial"/>
          <w:b/>
        </w:rPr>
        <w:tab/>
        <w:t>Tackling h</w:t>
      </w:r>
      <w:r w:rsidRPr="00CA61BB">
        <w:rPr>
          <w:rFonts w:cs="Arial"/>
          <w:b/>
        </w:rPr>
        <w:t>ealth inequalities</w:t>
      </w:r>
    </w:p>
    <w:p w:rsidR="00870AD6" w:rsidRPr="00CA61BB" w:rsidRDefault="009E3C42" w:rsidP="000B34A2">
      <w:pPr>
        <w:pStyle w:val="ListParagraph"/>
        <w:numPr>
          <w:ilvl w:val="0"/>
          <w:numId w:val="5"/>
        </w:numPr>
        <w:ind w:left="0" w:firstLine="0"/>
        <w:rPr>
          <w:rFonts w:cs="Arial"/>
          <w:b/>
        </w:rPr>
      </w:pPr>
      <w:r>
        <w:rPr>
          <w:rFonts w:cs="Arial"/>
          <w:b/>
        </w:rPr>
        <w:t>Supporting employment/</w:t>
      </w:r>
      <w:r w:rsidR="00870AD6" w:rsidRPr="00CA61BB">
        <w:rPr>
          <w:rFonts w:cs="Arial"/>
          <w:b/>
        </w:rPr>
        <w:t>childcare</w:t>
      </w:r>
      <w:r w:rsidR="00870AD6" w:rsidRPr="00CA61BB">
        <w:rPr>
          <w:rFonts w:cs="Arial"/>
          <w:b/>
        </w:rPr>
        <w:tab/>
      </w:r>
      <w:r>
        <w:rPr>
          <w:rFonts w:cs="Arial"/>
          <w:b/>
        </w:rPr>
        <w:tab/>
      </w:r>
      <w:r w:rsidR="00870AD6" w:rsidRPr="00CA61BB">
        <w:rPr>
          <w:rFonts w:cs="Arial"/>
          <w:b/>
        </w:rPr>
        <w:tab/>
      </w:r>
      <w:r w:rsidR="00870AD6" w:rsidRPr="00CA61BB">
        <w:rPr>
          <w:rFonts w:cs="Arial"/>
          <w:b/>
        </w:rPr>
        <w:tab/>
      </w:r>
      <w:r w:rsidR="00870AD6">
        <w:rPr>
          <w:rFonts w:cs="Arial"/>
          <w:b/>
        </w:rPr>
        <w:tab/>
      </w:r>
      <w:r w:rsidR="00870AD6" w:rsidRPr="00CA61BB">
        <w:rPr>
          <w:rFonts w:cs="Arial"/>
          <w:b/>
        </w:rPr>
        <w:t>6</w:t>
      </w:r>
      <w:r w:rsidR="00870AD6" w:rsidRPr="00CA61BB">
        <w:rPr>
          <w:rFonts w:cs="Arial"/>
          <w:b/>
        </w:rPr>
        <w:tab/>
        <w:t>Supporting safeguarding measures</w:t>
      </w:r>
    </w:p>
    <w:p w:rsidR="00870AD6" w:rsidRPr="00CA61BB" w:rsidRDefault="00870AD6" w:rsidP="000B34A2">
      <w:pPr>
        <w:pStyle w:val="ListParagraph"/>
        <w:numPr>
          <w:ilvl w:val="0"/>
          <w:numId w:val="5"/>
        </w:numPr>
        <w:ind w:left="0" w:firstLine="0"/>
        <w:rPr>
          <w:rFonts w:cs="Arial"/>
          <w:b/>
        </w:rPr>
      </w:pPr>
      <w:r w:rsidRPr="00CA61BB">
        <w:rPr>
          <w:rFonts w:cs="Arial"/>
          <w:b/>
        </w:rPr>
        <w:t>Improving housing quality</w:t>
      </w:r>
      <w:r w:rsidRPr="00CA61BB">
        <w:rPr>
          <w:rFonts w:cs="Arial"/>
          <w:b/>
        </w:rPr>
        <w:tab/>
      </w:r>
      <w:r w:rsidRPr="00CA61BB">
        <w:rPr>
          <w:rFonts w:cs="Arial"/>
          <w:b/>
        </w:rPr>
        <w:tab/>
      </w:r>
      <w:r w:rsidRPr="00CA61BB">
        <w:rPr>
          <w:rFonts w:cs="Arial"/>
          <w:b/>
        </w:rPr>
        <w:tab/>
      </w:r>
      <w:r w:rsidRPr="00CA61BB">
        <w:rPr>
          <w:rFonts w:cs="Arial"/>
          <w:b/>
        </w:rPr>
        <w:tab/>
      </w:r>
      <w:r w:rsidRPr="00CA61BB">
        <w:rPr>
          <w:rFonts w:cs="Arial"/>
          <w:b/>
        </w:rPr>
        <w:tab/>
      </w:r>
      <w:r w:rsidRPr="00CA61BB">
        <w:rPr>
          <w:rFonts w:cs="Arial"/>
          <w:b/>
        </w:rPr>
        <w:tab/>
        <w:t>7</w:t>
      </w:r>
      <w:r w:rsidRPr="00CA61BB">
        <w:rPr>
          <w:rFonts w:cs="Arial"/>
          <w:b/>
        </w:rPr>
        <w:tab/>
        <w:t>Improving local environment</w:t>
      </w:r>
    </w:p>
    <w:p w:rsidR="00870AD6" w:rsidRPr="00CA61BB" w:rsidRDefault="00870AD6" w:rsidP="000B34A2">
      <w:pPr>
        <w:pStyle w:val="ListParagraph"/>
        <w:numPr>
          <w:ilvl w:val="0"/>
          <w:numId w:val="5"/>
        </w:numPr>
        <w:ind w:left="0" w:firstLine="0"/>
        <w:rPr>
          <w:rFonts w:cs="Arial"/>
          <w:b/>
        </w:rPr>
      </w:pPr>
      <w:r w:rsidRPr="00CA61BB">
        <w:rPr>
          <w:rFonts w:cs="Arial"/>
          <w:b/>
        </w:rPr>
        <w:t>Supporting education, skills, development – young people</w:t>
      </w:r>
    </w:p>
    <w:p w:rsidR="00DF2FFE" w:rsidRDefault="000F7FD8" w:rsidP="002B5EB4">
      <w:pPr>
        <w:rPr>
          <w:rFonts w:cs="Arial"/>
          <w:b/>
          <w:sz w:val="24"/>
          <w:szCs w:val="24"/>
        </w:rPr>
      </w:pPr>
      <w:r>
        <w:rPr>
          <w:rFonts w:cs="Arial"/>
          <w:b/>
          <w:sz w:val="24"/>
          <w:szCs w:val="24"/>
        </w:rPr>
        <w:br w:type="page"/>
      </w:r>
      <w:r w:rsidR="008D0079">
        <w:rPr>
          <w:rFonts w:cs="Arial"/>
          <w:b/>
          <w:sz w:val="24"/>
          <w:szCs w:val="24"/>
        </w:rPr>
        <w:t>PIP</w:t>
      </w:r>
      <w:r w:rsidR="00DF2FFE">
        <w:rPr>
          <w:rFonts w:cs="Arial"/>
          <w:b/>
          <w:sz w:val="24"/>
          <w:szCs w:val="24"/>
        </w:rPr>
        <w:t xml:space="preserve"> – Health and Care</w:t>
      </w:r>
    </w:p>
    <w:p w:rsidR="00DF2FFE" w:rsidRPr="00C82AE0" w:rsidRDefault="00DF2FFE" w:rsidP="00DF2FFE">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CCFF"/>
        <w:tblLook w:val="01E0" w:firstRow="1" w:lastRow="1" w:firstColumn="1" w:lastColumn="1" w:noHBand="0" w:noVBand="0"/>
      </w:tblPr>
      <w:tblGrid>
        <w:gridCol w:w="13948"/>
      </w:tblGrid>
      <w:tr w:rsidR="00DF2FFE" w:rsidRPr="00D35FB3" w:rsidTr="00B45DB9">
        <w:trPr>
          <w:trHeight w:val="384"/>
        </w:trPr>
        <w:tc>
          <w:tcPr>
            <w:tcW w:w="14174" w:type="dxa"/>
            <w:tcBorders>
              <w:top w:val="single" w:sz="4" w:space="0" w:color="auto"/>
              <w:left w:val="single" w:sz="4" w:space="0" w:color="auto"/>
              <w:bottom w:val="single" w:sz="4" w:space="0" w:color="auto"/>
              <w:right w:val="single" w:sz="4" w:space="0" w:color="auto"/>
            </w:tcBorders>
            <w:shd w:val="clear" w:color="auto" w:fill="FFFF00"/>
          </w:tcPr>
          <w:p w:rsidR="00DF2FFE" w:rsidRPr="00D35FB3" w:rsidRDefault="007113F1" w:rsidP="006B58DB">
            <w:pPr>
              <w:pStyle w:val="ListBullet"/>
              <w:numPr>
                <w:ilvl w:val="0"/>
                <w:numId w:val="0"/>
              </w:numPr>
              <w:tabs>
                <w:tab w:val="left" w:pos="720"/>
              </w:tabs>
              <w:rPr>
                <w:rFonts w:ascii="Arial" w:hAnsi="Arial" w:cs="Arial"/>
                <w:b/>
                <w:sz w:val="22"/>
                <w:szCs w:val="22"/>
              </w:rPr>
            </w:pPr>
            <w:r w:rsidRPr="00D35FB3">
              <w:rPr>
                <w:rFonts w:ascii="Arial" w:hAnsi="Arial" w:cs="Arial"/>
                <w:b/>
                <w:sz w:val="22"/>
                <w:szCs w:val="22"/>
              </w:rPr>
              <w:t>Priority</w:t>
            </w:r>
            <w:r w:rsidR="00DF2FFE" w:rsidRPr="00D35FB3">
              <w:rPr>
                <w:rFonts w:ascii="Arial" w:hAnsi="Arial" w:cs="Arial"/>
                <w:b/>
                <w:sz w:val="22"/>
                <w:szCs w:val="22"/>
              </w:rPr>
              <w:t xml:space="preserve"> Outcome 2</w:t>
            </w:r>
            <w:r w:rsidR="006B58DB">
              <w:rPr>
                <w:rFonts w:ascii="Arial" w:hAnsi="Arial" w:cs="Arial"/>
                <w:b/>
                <w:sz w:val="22"/>
                <w:szCs w:val="22"/>
              </w:rPr>
              <w:t>:</w:t>
            </w:r>
            <w:r w:rsidR="00DF2FFE" w:rsidRPr="00D35FB3">
              <w:rPr>
                <w:rFonts w:ascii="Arial" w:hAnsi="Arial" w:cs="Arial"/>
                <w:b/>
                <w:sz w:val="22"/>
                <w:szCs w:val="22"/>
              </w:rPr>
              <w:t xml:space="preserve"> Shifting the balance of care from hospital and residential settings to community based alternatives</w:t>
            </w:r>
          </w:p>
        </w:tc>
      </w:tr>
      <w:tr w:rsidR="00DF2FFE" w:rsidRPr="00773970" w:rsidTr="00D35FB3">
        <w:tblPrEx>
          <w:shd w:val="clear" w:color="auto" w:fill="auto"/>
        </w:tblPrEx>
        <w:trPr>
          <w:trHeight w:val="8070"/>
        </w:trPr>
        <w:tc>
          <w:tcPr>
            <w:tcW w:w="14174" w:type="dxa"/>
            <w:tcBorders>
              <w:top w:val="single" w:sz="4" w:space="0" w:color="auto"/>
              <w:left w:val="single" w:sz="4" w:space="0" w:color="auto"/>
              <w:bottom w:val="single" w:sz="4" w:space="0" w:color="auto"/>
              <w:right w:val="single" w:sz="4" w:space="0" w:color="auto"/>
            </w:tcBorders>
            <w:shd w:val="clear" w:color="auto" w:fill="FFFFFF" w:themeFill="background1"/>
          </w:tcPr>
          <w:p w:rsidR="00DF2FFE" w:rsidRDefault="00DF2FFE" w:rsidP="00B45DB9">
            <w:pPr>
              <w:pStyle w:val="Default"/>
              <w:ind w:firstLine="0"/>
              <w:rPr>
                <w:sz w:val="22"/>
                <w:szCs w:val="22"/>
              </w:rPr>
            </w:pPr>
            <w:r w:rsidRPr="00C82AE0">
              <w:rPr>
                <w:b/>
                <w:sz w:val="22"/>
                <w:szCs w:val="22"/>
              </w:rPr>
              <w:t>Rationale</w:t>
            </w:r>
            <w:r>
              <w:rPr>
                <w:b/>
                <w:sz w:val="22"/>
                <w:szCs w:val="22"/>
              </w:rPr>
              <w:t xml:space="preserve">: </w:t>
            </w:r>
            <w:r>
              <w:rPr>
                <w:sz w:val="22"/>
                <w:szCs w:val="22"/>
              </w:rPr>
              <w:t>Whilst there will always be a requirement for bed based forms of care provided away from a person’s home, one of the national priorities is to shift the balance of care to provide more care in the community and within people’s homes.  This very much underpins what users and carers of services have told us is their preference.  In addition to this, the resources associated with bed based care is significant and does not always support the person to achieve their desired outcomes.  Developing and extending the range of options that people can access in terms of how they are supported will be a key aspect of the transformational change required, with the aim being to bring about a sustainable model of care for the future.  Our strategic needs assessment data provides context for this.</w:t>
            </w:r>
          </w:p>
          <w:p w:rsidR="00DF2FFE" w:rsidRPr="0076316E" w:rsidRDefault="00DF2FFE" w:rsidP="00B45DB9">
            <w:pPr>
              <w:pStyle w:val="Default"/>
              <w:ind w:firstLine="0"/>
              <w:rPr>
                <w:sz w:val="22"/>
                <w:szCs w:val="22"/>
              </w:rPr>
            </w:pPr>
          </w:p>
          <w:p w:rsidR="00DF2FFE" w:rsidRDefault="00DF2FFE" w:rsidP="00B45DB9">
            <w:pPr>
              <w:pStyle w:val="ListBullet"/>
              <w:numPr>
                <w:ilvl w:val="0"/>
                <w:numId w:val="0"/>
              </w:numPr>
              <w:tabs>
                <w:tab w:val="left" w:pos="720"/>
              </w:tabs>
              <w:rPr>
                <w:rFonts w:ascii="Arial" w:hAnsi="Arial" w:cs="Arial"/>
                <w:sz w:val="22"/>
                <w:szCs w:val="22"/>
              </w:rPr>
            </w:pPr>
            <w:r w:rsidRPr="00C82AE0">
              <w:rPr>
                <w:rFonts w:ascii="Arial" w:hAnsi="Arial" w:cs="Arial"/>
                <w:b/>
                <w:sz w:val="22"/>
                <w:szCs w:val="22"/>
              </w:rPr>
              <w:t>Context:</w:t>
            </w:r>
          </w:p>
          <w:p w:rsidR="00DF2FFE" w:rsidRPr="00DA6235" w:rsidRDefault="00DF2FFE" w:rsidP="00B45DB9">
            <w:pPr>
              <w:pStyle w:val="ListBullet"/>
              <w:numPr>
                <w:ilvl w:val="0"/>
                <w:numId w:val="0"/>
              </w:numPr>
              <w:tabs>
                <w:tab w:val="left" w:pos="720"/>
              </w:tabs>
              <w:rPr>
                <w:rFonts w:ascii="Arial" w:hAnsi="Arial" w:cs="Arial"/>
                <w:b/>
                <w:sz w:val="22"/>
                <w:szCs w:val="22"/>
              </w:rPr>
            </w:pPr>
            <w:r w:rsidRPr="00DA6235">
              <w:rPr>
                <w:rFonts w:ascii="Arial" w:hAnsi="Arial" w:cs="Arial"/>
                <w:b/>
                <w:sz w:val="22"/>
                <w:szCs w:val="22"/>
              </w:rPr>
              <w:t>Accident and Emergency Demand</w:t>
            </w:r>
          </w:p>
          <w:p w:rsidR="00DF2FFE" w:rsidRDefault="00DF2FFE" w:rsidP="00B45DB9">
            <w:pPr>
              <w:pStyle w:val="ListBullet"/>
              <w:numPr>
                <w:ilvl w:val="0"/>
                <w:numId w:val="0"/>
              </w:numPr>
              <w:tabs>
                <w:tab w:val="left" w:pos="720"/>
              </w:tabs>
              <w:rPr>
                <w:rFonts w:ascii="Arial" w:hAnsi="Arial" w:cs="Arial"/>
                <w:sz w:val="22"/>
                <w:szCs w:val="22"/>
              </w:rPr>
            </w:pPr>
            <w:r>
              <w:rPr>
                <w:rFonts w:ascii="Arial" w:hAnsi="Arial" w:cs="Arial"/>
                <w:sz w:val="22"/>
                <w:szCs w:val="22"/>
              </w:rPr>
              <w:t xml:space="preserve">In 2014/15, Accident and Emergency attendances for the South Lanarkshire Health and Social Care Partnership were 323.3 per 1,000 population, which is significantly higher than the national average of 278.6 per 1,000 population.  From a locality perspective, there are also challenges for the Partnership, </w:t>
            </w:r>
            <w:r w:rsidRPr="007113F1">
              <w:rPr>
                <w:rFonts w:ascii="Arial" w:hAnsi="Arial" w:cs="Arial"/>
                <w:sz w:val="22"/>
                <w:szCs w:val="22"/>
              </w:rPr>
              <w:t xml:space="preserve">in </w:t>
            </w:r>
            <w:r w:rsidR="007113F1" w:rsidRPr="007113F1">
              <w:rPr>
                <w:rFonts w:ascii="Arial" w:hAnsi="Arial" w:cs="Arial"/>
                <w:sz w:val="22"/>
                <w:szCs w:val="22"/>
              </w:rPr>
              <w:t xml:space="preserve">that </w:t>
            </w:r>
            <w:r w:rsidRPr="007113F1">
              <w:rPr>
                <w:rFonts w:ascii="Arial" w:hAnsi="Arial" w:cs="Arial"/>
                <w:sz w:val="22"/>
                <w:szCs w:val="22"/>
              </w:rPr>
              <w:t>there</w:t>
            </w:r>
            <w:r>
              <w:rPr>
                <w:rFonts w:ascii="Arial" w:hAnsi="Arial" w:cs="Arial"/>
                <w:sz w:val="22"/>
                <w:szCs w:val="22"/>
              </w:rPr>
              <w:t xml:space="preserve"> is significant variation across the four localities as highlighted by the following equivalent information:</w:t>
            </w:r>
          </w:p>
          <w:p w:rsidR="00DF2FFE" w:rsidRDefault="00DF2FFE" w:rsidP="00B45DB9">
            <w:pPr>
              <w:pStyle w:val="ListBullet"/>
              <w:numPr>
                <w:ilvl w:val="0"/>
                <w:numId w:val="0"/>
              </w:numPr>
              <w:tabs>
                <w:tab w:val="left" w:pos="720"/>
              </w:tabs>
              <w:rPr>
                <w:rFonts w:ascii="Arial" w:hAnsi="Arial" w:cs="Arial"/>
                <w:sz w:val="22"/>
                <w:szCs w:val="22"/>
              </w:rPr>
            </w:pPr>
          </w:p>
          <w:tbl>
            <w:tblPr>
              <w:tblStyle w:val="TableGrid"/>
              <w:tblW w:w="0" w:type="auto"/>
              <w:tblInd w:w="2527" w:type="dxa"/>
              <w:tblLook w:val="04A0" w:firstRow="1" w:lastRow="0" w:firstColumn="1" w:lastColumn="0" w:noHBand="0" w:noVBand="1"/>
            </w:tblPr>
            <w:tblGrid>
              <w:gridCol w:w="3422"/>
              <w:gridCol w:w="3544"/>
            </w:tblGrid>
            <w:tr w:rsidR="00DF2FFE" w:rsidTr="00B45DB9">
              <w:tc>
                <w:tcPr>
                  <w:tcW w:w="3422" w:type="dxa"/>
                </w:tcPr>
                <w:p w:rsidR="00DF2FFE" w:rsidRPr="00193719" w:rsidRDefault="00DF2FFE" w:rsidP="00B45DB9">
                  <w:pPr>
                    <w:pStyle w:val="ListBullet"/>
                    <w:numPr>
                      <w:ilvl w:val="0"/>
                      <w:numId w:val="0"/>
                    </w:numPr>
                    <w:tabs>
                      <w:tab w:val="left" w:pos="720"/>
                    </w:tabs>
                    <w:rPr>
                      <w:rFonts w:ascii="Arial" w:hAnsi="Arial" w:cs="Arial"/>
                      <w:b/>
                      <w:sz w:val="22"/>
                      <w:szCs w:val="22"/>
                    </w:rPr>
                  </w:pPr>
                  <w:r w:rsidRPr="00193719">
                    <w:rPr>
                      <w:rFonts w:ascii="Arial" w:hAnsi="Arial" w:cs="Arial"/>
                      <w:b/>
                      <w:sz w:val="22"/>
                      <w:szCs w:val="22"/>
                    </w:rPr>
                    <w:t>Locality</w:t>
                  </w:r>
                </w:p>
              </w:tc>
              <w:tc>
                <w:tcPr>
                  <w:tcW w:w="3544" w:type="dxa"/>
                </w:tcPr>
                <w:p w:rsidR="00DF2FFE" w:rsidRPr="00193719" w:rsidRDefault="00DF2FFE" w:rsidP="00B45DB9">
                  <w:pPr>
                    <w:pStyle w:val="ListBullet"/>
                    <w:numPr>
                      <w:ilvl w:val="0"/>
                      <w:numId w:val="0"/>
                    </w:numPr>
                    <w:tabs>
                      <w:tab w:val="left" w:pos="720"/>
                    </w:tabs>
                    <w:rPr>
                      <w:rFonts w:ascii="Arial" w:hAnsi="Arial" w:cs="Arial"/>
                      <w:b/>
                      <w:sz w:val="22"/>
                      <w:szCs w:val="22"/>
                    </w:rPr>
                  </w:pPr>
                  <w:r w:rsidRPr="00193719">
                    <w:rPr>
                      <w:rFonts w:ascii="Arial" w:hAnsi="Arial" w:cs="Arial"/>
                      <w:b/>
                      <w:sz w:val="22"/>
                      <w:szCs w:val="22"/>
                    </w:rPr>
                    <w:t>A&amp;E Attendances per 1,000 population 2014/15</w:t>
                  </w:r>
                </w:p>
              </w:tc>
            </w:tr>
            <w:tr w:rsidR="00DF2FFE" w:rsidTr="00B45DB9">
              <w:tc>
                <w:tcPr>
                  <w:tcW w:w="3422" w:type="dxa"/>
                </w:tcPr>
                <w:p w:rsidR="00DF2FFE" w:rsidRDefault="00DF2FFE" w:rsidP="00B45DB9">
                  <w:pPr>
                    <w:pStyle w:val="ListBullet"/>
                    <w:numPr>
                      <w:ilvl w:val="0"/>
                      <w:numId w:val="0"/>
                    </w:numPr>
                    <w:tabs>
                      <w:tab w:val="left" w:pos="720"/>
                    </w:tabs>
                    <w:rPr>
                      <w:rFonts w:ascii="Arial" w:hAnsi="Arial" w:cs="Arial"/>
                      <w:sz w:val="22"/>
                      <w:szCs w:val="22"/>
                    </w:rPr>
                  </w:pPr>
                  <w:r>
                    <w:rPr>
                      <w:rFonts w:ascii="Arial" w:hAnsi="Arial" w:cs="Arial"/>
                      <w:sz w:val="22"/>
                      <w:szCs w:val="22"/>
                    </w:rPr>
                    <w:t>Clydesdale</w:t>
                  </w:r>
                </w:p>
              </w:tc>
              <w:tc>
                <w:tcPr>
                  <w:tcW w:w="3544" w:type="dxa"/>
                </w:tcPr>
                <w:p w:rsidR="00DF2FFE" w:rsidRDefault="00DF2FFE"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245.0</w:t>
                  </w:r>
                </w:p>
              </w:tc>
            </w:tr>
            <w:tr w:rsidR="00DF2FFE" w:rsidTr="00B45DB9">
              <w:tc>
                <w:tcPr>
                  <w:tcW w:w="3422" w:type="dxa"/>
                </w:tcPr>
                <w:p w:rsidR="00DF2FFE" w:rsidRDefault="00DF2FFE" w:rsidP="00B45DB9">
                  <w:pPr>
                    <w:pStyle w:val="ListBullet"/>
                    <w:numPr>
                      <w:ilvl w:val="0"/>
                      <w:numId w:val="0"/>
                    </w:numPr>
                    <w:tabs>
                      <w:tab w:val="left" w:pos="720"/>
                    </w:tabs>
                    <w:rPr>
                      <w:rFonts w:ascii="Arial" w:hAnsi="Arial" w:cs="Arial"/>
                      <w:sz w:val="22"/>
                      <w:szCs w:val="22"/>
                    </w:rPr>
                  </w:pPr>
                  <w:r>
                    <w:rPr>
                      <w:rFonts w:ascii="Arial" w:hAnsi="Arial" w:cs="Arial"/>
                      <w:sz w:val="22"/>
                      <w:szCs w:val="22"/>
                    </w:rPr>
                    <w:t>Rutherglen/Cambuslang</w:t>
                  </w:r>
                </w:p>
              </w:tc>
              <w:tc>
                <w:tcPr>
                  <w:tcW w:w="3544" w:type="dxa"/>
                </w:tcPr>
                <w:p w:rsidR="00DF2FFE" w:rsidRDefault="00DF2FFE"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397.1</w:t>
                  </w:r>
                </w:p>
              </w:tc>
            </w:tr>
            <w:tr w:rsidR="00DF2FFE" w:rsidTr="00B45DB9">
              <w:tc>
                <w:tcPr>
                  <w:tcW w:w="3422" w:type="dxa"/>
                </w:tcPr>
                <w:p w:rsidR="00DF2FFE" w:rsidRDefault="00DF2FFE" w:rsidP="00B45DB9">
                  <w:pPr>
                    <w:pStyle w:val="ListBullet"/>
                    <w:numPr>
                      <w:ilvl w:val="0"/>
                      <w:numId w:val="0"/>
                    </w:numPr>
                    <w:tabs>
                      <w:tab w:val="left" w:pos="720"/>
                    </w:tabs>
                    <w:rPr>
                      <w:rFonts w:ascii="Arial" w:hAnsi="Arial" w:cs="Arial"/>
                      <w:sz w:val="22"/>
                      <w:szCs w:val="22"/>
                    </w:rPr>
                  </w:pPr>
                  <w:r>
                    <w:rPr>
                      <w:rFonts w:ascii="Arial" w:hAnsi="Arial" w:cs="Arial"/>
                      <w:sz w:val="22"/>
                      <w:szCs w:val="22"/>
                    </w:rPr>
                    <w:t>Hamilton/Blantyre</w:t>
                  </w:r>
                </w:p>
              </w:tc>
              <w:tc>
                <w:tcPr>
                  <w:tcW w:w="3544" w:type="dxa"/>
                </w:tcPr>
                <w:p w:rsidR="00DF2FFE" w:rsidRDefault="00DF2FFE"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318.6</w:t>
                  </w:r>
                </w:p>
              </w:tc>
            </w:tr>
            <w:tr w:rsidR="00DF2FFE" w:rsidTr="00B45DB9">
              <w:tc>
                <w:tcPr>
                  <w:tcW w:w="3422" w:type="dxa"/>
                </w:tcPr>
                <w:p w:rsidR="00DF2FFE" w:rsidRDefault="00DF2FFE" w:rsidP="00B45DB9">
                  <w:pPr>
                    <w:pStyle w:val="ListBullet"/>
                    <w:numPr>
                      <w:ilvl w:val="0"/>
                      <w:numId w:val="0"/>
                    </w:numPr>
                    <w:tabs>
                      <w:tab w:val="left" w:pos="720"/>
                    </w:tabs>
                    <w:rPr>
                      <w:rFonts w:ascii="Arial" w:hAnsi="Arial" w:cs="Arial"/>
                      <w:sz w:val="22"/>
                      <w:szCs w:val="22"/>
                    </w:rPr>
                  </w:pPr>
                  <w:r>
                    <w:rPr>
                      <w:rFonts w:ascii="Arial" w:hAnsi="Arial" w:cs="Arial"/>
                      <w:sz w:val="22"/>
                      <w:szCs w:val="22"/>
                    </w:rPr>
                    <w:t>East Kilbride</w:t>
                  </w:r>
                </w:p>
              </w:tc>
              <w:tc>
                <w:tcPr>
                  <w:tcW w:w="3544" w:type="dxa"/>
                </w:tcPr>
                <w:p w:rsidR="00DF2FFE" w:rsidRDefault="00DF2FFE"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333.6</w:t>
                  </w:r>
                </w:p>
              </w:tc>
            </w:tr>
          </w:tbl>
          <w:p w:rsidR="00DF2FFE" w:rsidRDefault="00DF2FFE" w:rsidP="00B45DB9">
            <w:pPr>
              <w:pStyle w:val="ListBullet"/>
              <w:numPr>
                <w:ilvl w:val="0"/>
                <w:numId w:val="0"/>
              </w:numPr>
              <w:tabs>
                <w:tab w:val="left" w:pos="720"/>
              </w:tabs>
              <w:rPr>
                <w:rFonts w:ascii="Arial" w:hAnsi="Arial" w:cs="Arial"/>
                <w:sz w:val="22"/>
                <w:szCs w:val="22"/>
              </w:rPr>
            </w:pPr>
          </w:p>
          <w:p w:rsidR="00DF2FFE" w:rsidRDefault="00DF2FFE" w:rsidP="00B45DB9">
            <w:pPr>
              <w:pStyle w:val="ListBullet"/>
              <w:numPr>
                <w:ilvl w:val="0"/>
                <w:numId w:val="0"/>
              </w:numPr>
              <w:tabs>
                <w:tab w:val="left" w:pos="720"/>
              </w:tabs>
              <w:rPr>
                <w:rFonts w:ascii="Arial" w:hAnsi="Arial" w:cs="Arial"/>
                <w:sz w:val="22"/>
                <w:szCs w:val="22"/>
              </w:rPr>
            </w:pPr>
            <w:r>
              <w:rPr>
                <w:rFonts w:ascii="Arial" w:hAnsi="Arial" w:cs="Arial"/>
                <w:sz w:val="22"/>
                <w:szCs w:val="22"/>
              </w:rPr>
              <w:t xml:space="preserve">It is important to understand the relationship between A&amp;E activity and emergency </w:t>
            </w:r>
            <w:r w:rsidR="00315198">
              <w:rPr>
                <w:rFonts w:ascii="Arial" w:hAnsi="Arial" w:cs="Arial"/>
                <w:sz w:val="22"/>
                <w:szCs w:val="22"/>
              </w:rPr>
              <w:t>admissions, given that the A&amp;E D</w:t>
            </w:r>
            <w:r>
              <w:rPr>
                <w:rFonts w:ascii="Arial" w:hAnsi="Arial" w:cs="Arial"/>
                <w:sz w:val="22"/>
                <w:szCs w:val="22"/>
              </w:rPr>
              <w:t>epartment represents the hospital front door.  From a conversion perspective, the SLHSCP is also higher than the Scottish average, with 27.6% of A&amp;E attendances resulting in a hospital admission compared with a Scottish average of 26.7% for 2014/15.  Forecasts for A&amp;E attendances project an overall increase of 14% for the 65+ population and 32% for the 85+ population over 2014/15 to 2020/21.</w:t>
            </w:r>
          </w:p>
          <w:p w:rsidR="00DF2FFE" w:rsidRDefault="00DF2FFE" w:rsidP="00B45DB9">
            <w:pPr>
              <w:pStyle w:val="ListBullet"/>
              <w:numPr>
                <w:ilvl w:val="0"/>
                <w:numId w:val="0"/>
              </w:numPr>
              <w:tabs>
                <w:tab w:val="left" w:pos="720"/>
              </w:tabs>
              <w:rPr>
                <w:rFonts w:ascii="Arial" w:hAnsi="Arial" w:cs="Arial"/>
                <w:sz w:val="22"/>
                <w:szCs w:val="22"/>
              </w:rPr>
            </w:pPr>
          </w:p>
          <w:p w:rsidR="00DF2FFE" w:rsidRPr="00DA6235" w:rsidRDefault="00DF2FFE" w:rsidP="00B45DB9">
            <w:pPr>
              <w:pStyle w:val="ListBullet"/>
              <w:numPr>
                <w:ilvl w:val="0"/>
                <w:numId w:val="0"/>
              </w:numPr>
              <w:tabs>
                <w:tab w:val="left" w:pos="720"/>
              </w:tabs>
              <w:rPr>
                <w:rFonts w:ascii="Arial" w:hAnsi="Arial" w:cs="Arial"/>
                <w:b/>
                <w:sz w:val="22"/>
                <w:szCs w:val="22"/>
              </w:rPr>
            </w:pPr>
            <w:r w:rsidRPr="00DA6235">
              <w:rPr>
                <w:rFonts w:ascii="Arial" w:hAnsi="Arial" w:cs="Arial"/>
                <w:b/>
                <w:sz w:val="22"/>
                <w:szCs w:val="22"/>
              </w:rPr>
              <w:t xml:space="preserve">Emergency Admissions </w:t>
            </w:r>
          </w:p>
          <w:p w:rsidR="006F0A74" w:rsidRDefault="00DF2FFE" w:rsidP="00B45DB9">
            <w:pPr>
              <w:pStyle w:val="ListBullet"/>
              <w:numPr>
                <w:ilvl w:val="0"/>
                <w:numId w:val="0"/>
              </w:numPr>
              <w:tabs>
                <w:tab w:val="left" w:pos="720"/>
              </w:tabs>
              <w:rPr>
                <w:rFonts w:ascii="Arial" w:hAnsi="Arial" w:cs="Arial"/>
                <w:sz w:val="22"/>
                <w:szCs w:val="22"/>
              </w:rPr>
            </w:pPr>
            <w:r>
              <w:rPr>
                <w:rFonts w:ascii="Arial" w:hAnsi="Arial" w:cs="Arial"/>
                <w:sz w:val="22"/>
                <w:szCs w:val="22"/>
              </w:rPr>
              <w:t>Similar trend information for emergency admissions is observed in a SLHSCP context.  In 2014/15, a rate of 109.1 per 1,000 population was reported, compared with a Scottish average of 104.4.  The variation across localities is less pronounced, with all localities (except Clydesdale) being above the Scottish average as follows:</w:t>
            </w:r>
          </w:p>
          <w:p w:rsidR="00DF2FFE" w:rsidRDefault="00DF2FFE" w:rsidP="00B45DB9">
            <w:pPr>
              <w:pStyle w:val="ListBullet"/>
              <w:numPr>
                <w:ilvl w:val="0"/>
                <w:numId w:val="0"/>
              </w:numPr>
              <w:tabs>
                <w:tab w:val="left" w:pos="720"/>
              </w:tabs>
              <w:rPr>
                <w:rFonts w:ascii="Arial" w:hAnsi="Arial" w:cs="Arial"/>
                <w:sz w:val="22"/>
                <w:szCs w:val="22"/>
              </w:rPr>
            </w:pPr>
            <w:r>
              <w:rPr>
                <w:rFonts w:ascii="Arial" w:hAnsi="Arial" w:cs="Arial"/>
                <w:sz w:val="22"/>
                <w:szCs w:val="22"/>
              </w:rPr>
              <w:t xml:space="preserve"> </w:t>
            </w:r>
          </w:p>
          <w:p w:rsidR="00E36046" w:rsidRPr="003043C8" w:rsidRDefault="00E36046" w:rsidP="00B45DB9">
            <w:pPr>
              <w:pStyle w:val="ListBullet"/>
              <w:numPr>
                <w:ilvl w:val="0"/>
                <w:numId w:val="0"/>
              </w:numPr>
              <w:tabs>
                <w:tab w:val="left" w:pos="720"/>
              </w:tabs>
              <w:rPr>
                <w:rFonts w:ascii="Arial" w:hAnsi="Arial" w:cs="Arial"/>
                <w:sz w:val="22"/>
                <w:szCs w:val="22"/>
              </w:rPr>
            </w:pPr>
          </w:p>
          <w:tbl>
            <w:tblPr>
              <w:tblStyle w:val="TableGrid"/>
              <w:tblW w:w="0" w:type="auto"/>
              <w:tblInd w:w="2527" w:type="dxa"/>
              <w:tblLook w:val="04A0" w:firstRow="1" w:lastRow="0" w:firstColumn="1" w:lastColumn="0" w:noHBand="0" w:noVBand="1"/>
            </w:tblPr>
            <w:tblGrid>
              <w:gridCol w:w="3422"/>
              <w:gridCol w:w="3544"/>
            </w:tblGrid>
            <w:tr w:rsidR="00DF2FFE" w:rsidTr="00B45DB9">
              <w:tc>
                <w:tcPr>
                  <w:tcW w:w="3422" w:type="dxa"/>
                </w:tcPr>
                <w:p w:rsidR="00DF2FFE" w:rsidRPr="00193719" w:rsidRDefault="00DF2FFE" w:rsidP="00B45DB9">
                  <w:pPr>
                    <w:pStyle w:val="ListBullet"/>
                    <w:numPr>
                      <w:ilvl w:val="0"/>
                      <w:numId w:val="0"/>
                    </w:numPr>
                    <w:tabs>
                      <w:tab w:val="left" w:pos="720"/>
                    </w:tabs>
                    <w:rPr>
                      <w:rFonts w:ascii="Arial" w:hAnsi="Arial" w:cs="Arial"/>
                      <w:b/>
                      <w:sz w:val="22"/>
                      <w:szCs w:val="22"/>
                    </w:rPr>
                  </w:pPr>
                  <w:r w:rsidRPr="00193719">
                    <w:rPr>
                      <w:rFonts w:ascii="Arial" w:hAnsi="Arial" w:cs="Arial"/>
                      <w:b/>
                      <w:sz w:val="22"/>
                      <w:szCs w:val="22"/>
                    </w:rPr>
                    <w:t>Locality</w:t>
                  </w:r>
                </w:p>
              </w:tc>
              <w:tc>
                <w:tcPr>
                  <w:tcW w:w="3544" w:type="dxa"/>
                </w:tcPr>
                <w:p w:rsidR="00DF2FFE" w:rsidRPr="00193719" w:rsidRDefault="00DF2FFE" w:rsidP="00B45DB9">
                  <w:pPr>
                    <w:pStyle w:val="ListBullet"/>
                    <w:numPr>
                      <w:ilvl w:val="0"/>
                      <w:numId w:val="0"/>
                    </w:numPr>
                    <w:tabs>
                      <w:tab w:val="left" w:pos="720"/>
                    </w:tabs>
                    <w:rPr>
                      <w:rFonts w:ascii="Arial" w:hAnsi="Arial" w:cs="Arial"/>
                      <w:b/>
                      <w:sz w:val="22"/>
                      <w:szCs w:val="22"/>
                    </w:rPr>
                  </w:pPr>
                  <w:r>
                    <w:rPr>
                      <w:rFonts w:ascii="Arial" w:hAnsi="Arial" w:cs="Arial"/>
                      <w:b/>
                      <w:sz w:val="22"/>
                      <w:szCs w:val="22"/>
                    </w:rPr>
                    <w:t>Emergency Admission</w:t>
                  </w:r>
                  <w:r w:rsidRPr="00193719">
                    <w:rPr>
                      <w:rFonts w:ascii="Arial" w:hAnsi="Arial" w:cs="Arial"/>
                      <w:b/>
                      <w:sz w:val="22"/>
                      <w:szCs w:val="22"/>
                    </w:rPr>
                    <w:t xml:space="preserve"> per 1,000 population 2014/15</w:t>
                  </w:r>
                </w:p>
              </w:tc>
            </w:tr>
            <w:tr w:rsidR="00DF2FFE" w:rsidTr="00B45DB9">
              <w:tc>
                <w:tcPr>
                  <w:tcW w:w="3422" w:type="dxa"/>
                </w:tcPr>
                <w:p w:rsidR="00DF2FFE" w:rsidRDefault="00DF2FFE" w:rsidP="00B45DB9">
                  <w:pPr>
                    <w:pStyle w:val="ListBullet"/>
                    <w:numPr>
                      <w:ilvl w:val="0"/>
                      <w:numId w:val="0"/>
                    </w:numPr>
                    <w:tabs>
                      <w:tab w:val="left" w:pos="720"/>
                    </w:tabs>
                    <w:rPr>
                      <w:rFonts w:ascii="Arial" w:hAnsi="Arial" w:cs="Arial"/>
                      <w:sz w:val="22"/>
                      <w:szCs w:val="22"/>
                    </w:rPr>
                  </w:pPr>
                  <w:r>
                    <w:rPr>
                      <w:rFonts w:ascii="Arial" w:hAnsi="Arial" w:cs="Arial"/>
                      <w:sz w:val="22"/>
                      <w:szCs w:val="22"/>
                    </w:rPr>
                    <w:t>Clydesdale</w:t>
                  </w:r>
                </w:p>
              </w:tc>
              <w:tc>
                <w:tcPr>
                  <w:tcW w:w="3544" w:type="dxa"/>
                </w:tcPr>
                <w:p w:rsidR="00DF2FFE" w:rsidRDefault="00DF2FFE"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100.9</w:t>
                  </w:r>
                </w:p>
              </w:tc>
            </w:tr>
            <w:tr w:rsidR="00DF2FFE" w:rsidTr="00B45DB9">
              <w:tc>
                <w:tcPr>
                  <w:tcW w:w="3422" w:type="dxa"/>
                </w:tcPr>
                <w:p w:rsidR="00DF2FFE" w:rsidRDefault="00DF2FFE" w:rsidP="00B45DB9">
                  <w:pPr>
                    <w:pStyle w:val="ListBullet"/>
                    <w:numPr>
                      <w:ilvl w:val="0"/>
                      <w:numId w:val="0"/>
                    </w:numPr>
                    <w:tabs>
                      <w:tab w:val="left" w:pos="720"/>
                    </w:tabs>
                    <w:rPr>
                      <w:rFonts w:ascii="Arial" w:hAnsi="Arial" w:cs="Arial"/>
                      <w:sz w:val="22"/>
                      <w:szCs w:val="22"/>
                    </w:rPr>
                  </w:pPr>
                  <w:r>
                    <w:rPr>
                      <w:rFonts w:ascii="Arial" w:hAnsi="Arial" w:cs="Arial"/>
                      <w:sz w:val="22"/>
                      <w:szCs w:val="22"/>
                    </w:rPr>
                    <w:t>Rutherglen/Cambuslang</w:t>
                  </w:r>
                </w:p>
              </w:tc>
              <w:tc>
                <w:tcPr>
                  <w:tcW w:w="3544" w:type="dxa"/>
                </w:tcPr>
                <w:p w:rsidR="00DF2FFE" w:rsidRDefault="00DF2FFE"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106.3</w:t>
                  </w:r>
                </w:p>
              </w:tc>
            </w:tr>
            <w:tr w:rsidR="00DF2FFE" w:rsidTr="00B45DB9">
              <w:tc>
                <w:tcPr>
                  <w:tcW w:w="3422" w:type="dxa"/>
                </w:tcPr>
                <w:p w:rsidR="00DF2FFE" w:rsidRDefault="00DF2FFE" w:rsidP="00B45DB9">
                  <w:pPr>
                    <w:pStyle w:val="ListBullet"/>
                    <w:numPr>
                      <w:ilvl w:val="0"/>
                      <w:numId w:val="0"/>
                    </w:numPr>
                    <w:tabs>
                      <w:tab w:val="left" w:pos="720"/>
                    </w:tabs>
                    <w:rPr>
                      <w:rFonts w:ascii="Arial" w:hAnsi="Arial" w:cs="Arial"/>
                      <w:sz w:val="22"/>
                      <w:szCs w:val="22"/>
                    </w:rPr>
                  </w:pPr>
                  <w:r>
                    <w:rPr>
                      <w:rFonts w:ascii="Arial" w:hAnsi="Arial" w:cs="Arial"/>
                      <w:sz w:val="22"/>
                      <w:szCs w:val="22"/>
                    </w:rPr>
                    <w:t>Hamilton/Blantyre</w:t>
                  </w:r>
                </w:p>
              </w:tc>
              <w:tc>
                <w:tcPr>
                  <w:tcW w:w="3544" w:type="dxa"/>
                </w:tcPr>
                <w:p w:rsidR="00DF2FFE" w:rsidRDefault="00DF2FFE"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114</w:t>
                  </w:r>
                </w:p>
              </w:tc>
            </w:tr>
            <w:tr w:rsidR="00DF2FFE" w:rsidTr="00B45DB9">
              <w:tc>
                <w:tcPr>
                  <w:tcW w:w="3422" w:type="dxa"/>
                </w:tcPr>
                <w:p w:rsidR="00DF2FFE" w:rsidRDefault="00DF2FFE" w:rsidP="00B45DB9">
                  <w:pPr>
                    <w:pStyle w:val="ListBullet"/>
                    <w:numPr>
                      <w:ilvl w:val="0"/>
                      <w:numId w:val="0"/>
                    </w:numPr>
                    <w:tabs>
                      <w:tab w:val="left" w:pos="720"/>
                    </w:tabs>
                    <w:rPr>
                      <w:rFonts w:ascii="Arial" w:hAnsi="Arial" w:cs="Arial"/>
                      <w:sz w:val="22"/>
                      <w:szCs w:val="22"/>
                    </w:rPr>
                  </w:pPr>
                  <w:r>
                    <w:rPr>
                      <w:rFonts w:ascii="Arial" w:hAnsi="Arial" w:cs="Arial"/>
                      <w:sz w:val="22"/>
                      <w:szCs w:val="22"/>
                    </w:rPr>
                    <w:t>East Kilbride</w:t>
                  </w:r>
                </w:p>
              </w:tc>
              <w:tc>
                <w:tcPr>
                  <w:tcW w:w="3544" w:type="dxa"/>
                </w:tcPr>
                <w:p w:rsidR="00DF2FFE" w:rsidRDefault="00DF2FFE"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110.8</w:t>
                  </w:r>
                </w:p>
              </w:tc>
            </w:tr>
          </w:tbl>
          <w:p w:rsidR="00DF2FFE" w:rsidRDefault="00DF2FFE" w:rsidP="00B45DB9">
            <w:pPr>
              <w:pStyle w:val="ListBullet"/>
              <w:numPr>
                <w:ilvl w:val="0"/>
                <w:numId w:val="0"/>
              </w:numPr>
              <w:tabs>
                <w:tab w:val="left" w:pos="720"/>
              </w:tabs>
              <w:rPr>
                <w:rFonts w:ascii="Arial" w:hAnsi="Arial" w:cs="Arial"/>
                <w:sz w:val="22"/>
                <w:szCs w:val="22"/>
              </w:rPr>
            </w:pPr>
            <w:r w:rsidRPr="003043C8">
              <w:rPr>
                <w:rFonts w:ascii="Arial" w:hAnsi="Arial" w:cs="Arial"/>
                <w:sz w:val="22"/>
                <w:szCs w:val="22"/>
              </w:rPr>
              <w:t xml:space="preserve"> </w:t>
            </w:r>
          </w:p>
          <w:p w:rsidR="00DF2FFE" w:rsidRPr="004E5A92" w:rsidRDefault="00DF2FFE" w:rsidP="00B45DB9">
            <w:pPr>
              <w:pStyle w:val="ListBullet"/>
              <w:numPr>
                <w:ilvl w:val="0"/>
                <w:numId w:val="0"/>
              </w:numPr>
              <w:tabs>
                <w:tab w:val="left" w:pos="720"/>
              </w:tabs>
              <w:rPr>
                <w:rFonts w:ascii="Arial" w:hAnsi="Arial" w:cs="Arial"/>
                <w:sz w:val="22"/>
                <w:szCs w:val="22"/>
              </w:rPr>
            </w:pPr>
            <w:r>
              <w:rPr>
                <w:rFonts w:ascii="Arial" w:hAnsi="Arial" w:cs="Arial"/>
                <w:sz w:val="22"/>
                <w:szCs w:val="22"/>
              </w:rPr>
              <w:t>It is not only the current position which places a demand on services, if everything remains equal and demographic growth continues in line with the projected increases, then our own forecasts for emergency admissions are projected to increase by 19% for the 65+ population and 39% for the 85+ population over the period 2014/15 to 2020/21</w:t>
            </w:r>
            <w:r w:rsidR="007E3CCB">
              <w:rPr>
                <w:rFonts w:ascii="Arial" w:hAnsi="Arial" w:cs="Arial"/>
                <w:sz w:val="22"/>
                <w:szCs w:val="22"/>
              </w:rPr>
              <w:t>.</w:t>
            </w:r>
          </w:p>
          <w:p w:rsidR="00DF2FFE" w:rsidRDefault="00DF2FFE" w:rsidP="00B45DB9">
            <w:pPr>
              <w:pStyle w:val="ListBullet"/>
              <w:numPr>
                <w:ilvl w:val="0"/>
                <w:numId w:val="0"/>
              </w:numPr>
              <w:tabs>
                <w:tab w:val="left" w:pos="720"/>
              </w:tabs>
              <w:rPr>
                <w:rFonts w:ascii="Arial" w:hAnsi="Arial" w:cs="Arial"/>
                <w:b/>
                <w:i/>
                <w:sz w:val="22"/>
                <w:szCs w:val="22"/>
              </w:rPr>
            </w:pPr>
          </w:p>
          <w:p w:rsidR="00DF2FFE" w:rsidRPr="00DA6235" w:rsidRDefault="00DF2FFE" w:rsidP="00B45DB9">
            <w:pPr>
              <w:pStyle w:val="ListBullet"/>
              <w:numPr>
                <w:ilvl w:val="0"/>
                <w:numId w:val="0"/>
              </w:numPr>
              <w:tabs>
                <w:tab w:val="left" w:pos="720"/>
              </w:tabs>
              <w:rPr>
                <w:rFonts w:ascii="Arial" w:hAnsi="Arial" w:cs="Arial"/>
                <w:b/>
                <w:sz w:val="22"/>
                <w:szCs w:val="22"/>
              </w:rPr>
            </w:pPr>
            <w:r w:rsidRPr="00DA6235">
              <w:rPr>
                <w:rFonts w:ascii="Arial" w:hAnsi="Arial" w:cs="Arial"/>
                <w:b/>
                <w:sz w:val="22"/>
                <w:szCs w:val="22"/>
              </w:rPr>
              <w:t>Discharge Planning Demand</w:t>
            </w:r>
          </w:p>
          <w:p w:rsidR="00DF2FFE" w:rsidRPr="00DA6235" w:rsidRDefault="00DF2FFE" w:rsidP="00B45DB9">
            <w:pPr>
              <w:pStyle w:val="ListBullet"/>
              <w:numPr>
                <w:ilvl w:val="0"/>
                <w:numId w:val="0"/>
              </w:numPr>
              <w:tabs>
                <w:tab w:val="left" w:pos="720"/>
              </w:tabs>
              <w:rPr>
                <w:rFonts w:ascii="Arial" w:hAnsi="Arial" w:cs="Arial"/>
                <w:sz w:val="22"/>
                <w:szCs w:val="22"/>
              </w:rPr>
            </w:pPr>
            <w:r w:rsidRPr="00DA6235">
              <w:rPr>
                <w:rFonts w:ascii="Arial" w:hAnsi="Arial" w:cs="Arial"/>
                <w:sz w:val="22"/>
                <w:szCs w:val="22"/>
              </w:rPr>
              <w:t xml:space="preserve">The knock on effect of the above is the correlation between emergency admissions and discharge planning.  </w:t>
            </w:r>
            <w:r w:rsidR="00DA6235">
              <w:rPr>
                <w:rFonts w:ascii="Arial" w:hAnsi="Arial" w:cs="Arial"/>
                <w:sz w:val="22"/>
                <w:szCs w:val="22"/>
              </w:rPr>
              <w:t>The</w:t>
            </w:r>
            <w:r w:rsidRPr="00DA6235">
              <w:rPr>
                <w:rFonts w:ascii="Arial" w:hAnsi="Arial" w:cs="Arial"/>
                <w:sz w:val="22"/>
                <w:szCs w:val="22"/>
              </w:rPr>
              <w:t xml:space="preserve"> SLHSCP can discharge anywhere between 200-250 people per month from hospital with an associated care package.  Referrals to the Hospital HUB for supported discharge are on average 83 per week or 372 per month.  However, within this, there are people who can be delayed in hospital whilst awaiting a care package.  Increased admissions on a week by week basis will more often than not result in increased requests for health and social care community supports, for example home care and residential care.  Again our needs assessment data indicates that demand in this area is growing and we also know that the average hospital home care package is on average 2.5 hours more than the equivalent community based package.  Therefore, shifting the balance of care is a better option in managing resources.</w:t>
            </w:r>
          </w:p>
          <w:p w:rsidR="00DF2FFE" w:rsidRPr="00DA6235" w:rsidRDefault="00DF2FFE" w:rsidP="00B45DB9">
            <w:pPr>
              <w:pStyle w:val="ListBullet"/>
              <w:numPr>
                <w:ilvl w:val="0"/>
                <w:numId w:val="0"/>
              </w:numPr>
              <w:tabs>
                <w:tab w:val="left" w:pos="720"/>
              </w:tabs>
              <w:rPr>
                <w:rFonts w:ascii="Arial" w:hAnsi="Arial" w:cs="Arial"/>
                <w:sz w:val="22"/>
                <w:szCs w:val="22"/>
              </w:rPr>
            </w:pPr>
          </w:p>
          <w:p w:rsidR="00DF2FFE" w:rsidRPr="00DA6235" w:rsidRDefault="00DF2FFE" w:rsidP="00B45DB9">
            <w:pPr>
              <w:pStyle w:val="ListBullet"/>
              <w:numPr>
                <w:ilvl w:val="0"/>
                <w:numId w:val="0"/>
              </w:numPr>
              <w:tabs>
                <w:tab w:val="left" w:pos="720"/>
              </w:tabs>
              <w:rPr>
                <w:rFonts w:ascii="Arial" w:hAnsi="Arial" w:cs="Arial"/>
                <w:b/>
                <w:sz w:val="22"/>
                <w:szCs w:val="22"/>
              </w:rPr>
            </w:pPr>
            <w:r w:rsidRPr="00DA6235">
              <w:rPr>
                <w:rFonts w:ascii="Arial" w:hAnsi="Arial" w:cs="Arial"/>
                <w:b/>
                <w:sz w:val="22"/>
                <w:szCs w:val="22"/>
              </w:rPr>
              <w:t>Residential and Nursing Care</w:t>
            </w:r>
          </w:p>
          <w:p w:rsidR="00DF2FFE" w:rsidRDefault="00DF2FFE" w:rsidP="00B45DB9">
            <w:pPr>
              <w:pStyle w:val="ListBullet"/>
              <w:numPr>
                <w:ilvl w:val="0"/>
                <w:numId w:val="0"/>
              </w:numPr>
              <w:tabs>
                <w:tab w:val="left" w:pos="720"/>
              </w:tabs>
              <w:rPr>
                <w:rFonts w:ascii="Arial" w:hAnsi="Arial" w:cs="Arial"/>
                <w:sz w:val="22"/>
                <w:szCs w:val="22"/>
              </w:rPr>
            </w:pPr>
            <w:r w:rsidRPr="00DA6235">
              <w:rPr>
                <w:rFonts w:ascii="Arial" w:hAnsi="Arial" w:cs="Arial"/>
                <w:sz w:val="22"/>
                <w:szCs w:val="22"/>
              </w:rPr>
              <w:t>Current demand for residential and nursing care has resulted in the Partnership having to fund an additional 5 new places over and above the existing 50 new places allocated per month.  In terms of the current placements, there are at any time, approximately 2,200 people in residential and nursing care</w:t>
            </w:r>
            <w:r>
              <w:rPr>
                <w:rFonts w:ascii="Arial" w:hAnsi="Arial" w:cs="Arial"/>
                <w:sz w:val="22"/>
                <w:szCs w:val="22"/>
              </w:rPr>
              <w:t xml:space="preserve">. </w:t>
            </w:r>
          </w:p>
          <w:p w:rsidR="00DF2FFE" w:rsidRDefault="00DF2FFE" w:rsidP="00B45DB9">
            <w:pPr>
              <w:pStyle w:val="ListBullet"/>
              <w:numPr>
                <w:ilvl w:val="0"/>
                <w:numId w:val="0"/>
              </w:numPr>
              <w:tabs>
                <w:tab w:val="left" w:pos="720"/>
              </w:tabs>
              <w:rPr>
                <w:rFonts w:ascii="Arial" w:hAnsi="Arial" w:cs="Arial"/>
                <w:sz w:val="22"/>
                <w:szCs w:val="22"/>
              </w:rPr>
            </w:pPr>
          </w:p>
          <w:p w:rsidR="00DF2FFE" w:rsidRDefault="00DF2FFE" w:rsidP="00B45DB9">
            <w:pPr>
              <w:pStyle w:val="ListBullet"/>
              <w:numPr>
                <w:ilvl w:val="0"/>
                <w:numId w:val="0"/>
              </w:numPr>
              <w:tabs>
                <w:tab w:val="left" w:pos="720"/>
              </w:tabs>
              <w:rPr>
                <w:rFonts w:ascii="Arial" w:hAnsi="Arial" w:cs="Arial"/>
                <w:b/>
                <w:sz w:val="22"/>
                <w:szCs w:val="22"/>
              </w:rPr>
            </w:pPr>
            <w:r w:rsidRPr="00C82AE0">
              <w:rPr>
                <w:rFonts w:ascii="Arial" w:hAnsi="Arial" w:cs="Arial"/>
                <w:b/>
                <w:sz w:val="22"/>
                <w:szCs w:val="22"/>
              </w:rPr>
              <w:t>Drivers:</w:t>
            </w:r>
            <w:r>
              <w:rPr>
                <w:rFonts w:ascii="Arial" w:hAnsi="Arial" w:cs="Arial"/>
                <w:b/>
                <w:sz w:val="22"/>
                <w:szCs w:val="22"/>
              </w:rPr>
              <w:t xml:space="preserve">  </w:t>
            </w:r>
            <w:r>
              <w:rPr>
                <w:rFonts w:ascii="Arial" w:hAnsi="Arial" w:cs="Arial"/>
                <w:sz w:val="22"/>
                <w:szCs w:val="22"/>
              </w:rPr>
              <w:t>D</w:t>
            </w:r>
            <w:r w:rsidRPr="00022D0C">
              <w:rPr>
                <w:rFonts w:ascii="Arial" w:hAnsi="Arial" w:cs="Arial"/>
                <w:sz w:val="22"/>
                <w:szCs w:val="22"/>
              </w:rPr>
              <w:t>emand on servic</w:t>
            </w:r>
            <w:r>
              <w:rPr>
                <w:rFonts w:ascii="Arial" w:hAnsi="Arial" w:cs="Arial"/>
                <w:sz w:val="22"/>
                <w:szCs w:val="22"/>
              </w:rPr>
              <w:t>es and national policy remain the key drivers.  The Health and Social Care Delivery Plan objectives for 2016 includes focus on reducing accident and emergency attendances, emergency admissions, unscheduled bed days, delayed discharges, end of life care, balance of spend across hospital/residential and community.  In addition to this, the Integration Joint Board (IJB) issued</w:t>
            </w:r>
            <w:r w:rsidR="007E3CCB">
              <w:rPr>
                <w:rFonts w:ascii="Arial" w:hAnsi="Arial" w:cs="Arial"/>
                <w:sz w:val="22"/>
                <w:szCs w:val="22"/>
              </w:rPr>
              <w:t xml:space="preserve"> 6 additional directions to South Lanarkshire </w:t>
            </w:r>
            <w:r>
              <w:rPr>
                <w:rFonts w:ascii="Arial" w:hAnsi="Arial" w:cs="Arial"/>
                <w:sz w:val="22"/>
                <w:szCs w:val="22"/>
              </w:rPr>
              <w:t xml:space="preserve">Council and </w:t>
            </w:r>
            <w:r w:rsidR="007E3CCB">
              <w:rPr>
                <w:rFonts w:ascii="Arial" w:hAnsi="Arial" w:cs="Arial"/>
                <w:sz w:val="22"/>
                <w:szCs w:val="22"/>
              </w:rPr>
              <w:t xml:space="preserve">Lanarkshire </w:t>
            </w:r>
            <w:r>
              <w:rPr>
                <w:rFonts w:ascii="Arial" w:hAnsi="Arial" w:cs="Arial"/>
                <w:sz w:val="22"/>
                <w:szCs w:val="22"/>
              </w:rPr>
              <w:t>NHS Board focusing on care at home, reviewing and redesigning existing care pathways in the community, locality planning, Pr</w:t>
            </w:r>
            <w:r w:rsidR="00315198">
              <w:rPr>
                <w:rFonts w:ascii="Arial" w:hAnsi="Arial" w:cs="Arial"/>
                <w:sz w:val="22"/>
                <w:szCs w:val="22"/>
              </w:rPr>
              <w:t>imary Care Transformation, the E</w:t>
            </w:r>
            <w:r>
              <w:rPr>
                <w:rFonts w:ascii="Arial" w:hAnsi="Arial" w:cs="Arial"/>
                <w:sz w:val="22"/>
                <w:szCs w:val="22"/>
              </w:rPr>
              <w:t xml:space="preserve">mergency </w:t>
            </w:r>
            <w:r w:rsidR="00315198">
              <w:rPr>
                <w:rFonts w:ascii="Arial" w:hAnsi="Arial" w:cs="Arial"/>
                <w:sz w:val="22"/>
                <w:szCs w:val="22"/>
              </w:rPr>
              <w:t>Care P</w:t>
            </w:r>
            <w:r>
              <w:rPr>
                <w:rFonts w:ascii="Arial" w:hAnsi="Arial" w:cs="Arial"/>
                <w:sz w:val="22"/>
                <w:szCs w:val="22"/>
              </w:rPr>
              <w:t>athway and L</w:t>
            </w:r>
            <w:r w:rsidR="00DA6235">
              <w:rPr>
                <w:rFonts w:ascii="Arial" w:hAnsi="Arial" w:cs="Arial"/>
                <w:sz w:val="22"/>
                <w:szCs w:val="22"/>
              </w:rPr>
              <w:t xml:space="preserve">ocal </w:t>
            </w:r>
            <w:r>
              <w:rPr>
                <w:rFonts w:ascii="Arial" w:hAnsi="Arial" w:cs="Arial"/>
                <w:sz w:val="22"/>
                <w:szCs w:val="22"/>
              </w:rPr>
              <w:t>O</w:t>
            </w:r>
            <w:r w:rsidR="00DA6235">
              <w:rPr>
                <w:rFonts w:ascii="Arial" w:hAnsi="Arial" w:cs="Arial"/>
                <w:sz w:val="22"/>
                <w:szCs w:val="22"/>
              </w:rPr>
              <w:t xml:space="preserve">utcome </w:t>
            </w:r>
            <w:r>
              <w:rPr>
                <w:rFonts w:ascii="Arial" w:hAnsi="Arial" w:cs="Arial"/>
                <w:sz w:val="22"/>
                <w:szCs w:val="22"/>
              </w:rPr>
              <w:t>I</w:t>
            </w:r>
            <w:r w:rsidR="00DA6235">
              <w:rPr>
                <w:rFonts w:ascii="Arial" w:hAnsi="Arial" w:cs="Arial"/>
                <w:sz w:val="22"/>
                <w:szCs w:val="22"/>
              </w:rPr>
              <w:t xml:space="preserve">mprovement </w:t>
            </w:r>
            <w:r>
              <w:rPr>
                <w:rFonts w:ascii="Arial" w:hAnsi="Arial" w:cs="Arial"/>
                <w:sz w:val="22"/>
                <w:szCs w:val="22"/>
              </w:rPr>
              <w:t>P</w:t>
            </w:r>
            <w:r w:rsidR="00DA6235">
              <w:rPr>
                <w:rFonts w:ascii="Arial" w:hAnsi="Arial" w:cs="Arial"/>
                <w:sz w:val="22"/>
                <w:szCs w:val="22"/>
              </w:rPr>
              <w:t>lan</w:t>
            </w:r>
            <w:r>
              <w:rPr>
                <w:rFonts w:ascii="Arial" w:hAnsi="Arial" w:cs="Arial"/>
                <w:sz w:val="22"/>
                <w:szCs w:val="22"/>
              </w:rPr>
              <w:t>s.</w:t>
            </w:r>
            <w:r w:rsidRPr="00C82AE0">
              <w:rPr>
                <w:rFonts w:ascii="Arial" w:hAnsi="Arial" w:cs="Arial"/>
                <w:b/>
                <w:sz w:val="22"/>
                <w:szCs w:val="22"/>
              </w:rPr>
              <w:t xml:space="preserve"> </w:t>
            </w:r>
          </w:p>
          <w:p w:rsidR="00D35FB3" w:rsidRPr="00C82AE0" w:rsidRDefault="00D35FB3" w:rsidP="00B45DB9">
            <w:pPr>
              <w:pStyle w:val="ListBullet"/>
              <w:numPr>
                <w:ilvl w:val="0"/>
                <w:numId w:val="0"/>
              </w:numPr>
              <w:tabs>
                <w:tab w:val="left" w:pos="720"/>
              </w:tabs>
              <w:rPr>
                <w:rFonts w:ascii="Arial" w:hAnsi="Arial" w:cs="Arial"/>
                <w:b/>
                <w:sz w:val="22"/>
                <w:szCs w:val="22"/>
              </w:rPr>
            </w:pPr>
          </w:p>
        </w:tc>
      </w:tr>
    </w:tbl>
    <w:p w:rsidR="00D35FB3" w:rsidRDefault="00D35F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1832"/>
        <w:gridCol w:w="2108"/>
        <w:gridCol w:w="1748"/>
        <w:gridCol w:w="2448"/>
        <w:gridCol w:w="1792"/>
      </w:tblGrid>
      <w:tr w:rsidR="00DF2FFE" w:rsidRPr="00773970" w:rsidTr="00E32EBC">
        <w:trPr>
          <w:trHeight w:val="344"/>
        </w:trPr>
        <w:tc>
          <w:tcPr>
            <w:tcW w:w="14174" w:type="dxa"/>
            <w:gridSpan w:val="6"/>
            <w:tcBorders>
              <w:top w:val="single" w:sz="4" w:space="0" w:color="auto"/>
              <w:left w:val="single" w:sz="4" w:space="0" w:color="auto"/>
              <w:bottom w:val="single" w:sz="4" w:space="0" w:color="auto"/>
              <w:right w:val="single" w:sz="4" w:space="0" w:color="auto"/>
            </w:tcBorders>
            <w:shd w:val="clear" w:color="auto" w:fill="E5DFEC"/>
          </w:tcPr>
          <w:p w:rsidR="00DF2FFE" w:rsidRPr="00C82AE0" w:rsidRDefault="00DF2FFE" w:rsidP="00B45DB9">
            <w:pPr>
              <w:pStyle w:val="ListBullet"/>
              <w:numPr>
                <w:ilvl w:val="0"/>
                <w:numId w:val="0"/>
              </w:numPr>
              <w:tabs>
                <w:tab w:val="left" w:pos="720"/>
              </w:tabs>
              <w:rPr>
                <w:rFonts w:ascii="Arial" w:hAnsi="Arial" w:cs="Arial"/>
                <w:b/>
                <w:sz w:val="22"/>
                <w:szCs w:val="22"/>
              </w:rPr>
            </w:pPr>
            <w:r w:rsidRPr="00C82AE0">
              <w:rPr>
                <w:rFonts w:ascii="Arial" w:hAnsi="Arial" w:cs="Arial"/>
                <w:b/>
                <w:sz w:val="22"/>
                <w:szCs w:val="22"/>
              </w:rPr>
              <w:t>We will measure progress towards this priority outcome with reference to the following indicators and targets</w:t>
            </w:r>
          </w:p>
        </w:tc>
      </w:tr>
      <w:tr w:rsidR="00DA6235" w:rsidRPr="000A2276" w:rsidTr="00D35FB3">
        <w:tc>
          <w:tcPr>
            <w:tcW w:w="410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A6235" w:rsidRPr="00C82AE0" w:rsidRDefault="00DA6235" w:rsidP="00B45DB9">
            <w:pPr>
              <w:pStyle w:val="ListBullet"/>
              <w:numPr>
                <w:ilvl w:val="0"/>
                <w:numId w:val="0"/>
              </w:numPr>
              <w:tabs>
                <w:tab w:val="left" w:pos="720"/>
              </w:tabs>
              <w:spacing w:line="276" w:lineRule="auto"/>
              <w:jc w:val="center"/>
              <w:rPr>
                <w:rFonts w:ascii="Arial" w:hAnsi="Arial" w:cs="Arial"/>
                <w:b/>
                <w:sz w:val="22"/>
                <w:szCs w:val="22"/>
              </w:rPr>
            </w:pPr>
            <w:r w:rsidRPr="00C82AE0">
              <w:rPr>
                <w:rFonts w:ascii="Arial" w:hAnsi="Arial" w:cs="Arial"/>
                <w:b/>
                <w:sz w:val="22"/>
                <w:szCs w:val="22"/>
              </w:rPr>
              <w:t>Indicator(s) and Source</w:t>
            </w:r>
          </w:p>
        </w:tc>
        <w:tc>
          <w:tcPr>
            <w:tcW w:w="18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A6235" w:rsidRPr="00C82AE0" w:rsidRDefault="00DA6235" w:rsidP="00B45DB9">
            <w:pPr>
              <w:pStyle w:val="ListBullet"/>
              <w:numPr>
                <w:ilvl w:val="0"/>
                <w:numId w:val="0"/>
              </w:numPr>
              <w:tabs>
                <w:tab w:val="left" w:pos="720"/>
              </w:tabs>
              <w:spacing w:line="276" w:lineRule="auto"/>
              <w:jc w:val="center"/>
              <w:rPr>
                <w:rFonts w:ascii="Arial" w:hAnsi="Arial" w:cs="Arial"/>
                <w:b/>
                <w:sz w:val="22"/>
                <w:szCs w:val="22"/>
              </w:rPr>
            </w:pPr>
            <w:r w:rsidRPr="00C82AE0">
              <w:rPr>
                <w:rFonts w:ascii="Arial" w:hAnsi="Arial" w:cs="Arial"/>
                <w:b/>
                <w:sz w:val="22"/>
                <w:szCs w:val="22"/>
              </w:rPr>
              <w:t>Baseline</w:t>
            </w:r>
          </w:p>
        </w:tc>
        <w:tc>
          <w:tcPr>
            <w:tcW w:w="2139" w:type="dxa"/>
            <w:tcBorders>
              <w:top w:val="single" w:sz="4" w:space="0" w:color="auto"/>
              <w:left w:val="single" w:sz="4" w:space="0" w:color="auto"/>
              <w:right w:val="single" w:sz="4" w:space="0" w:color="auto"/>
            </w:tcBorders>
            <w:shd w:val="clear" w:color="auto" w:fill="D6E3BC" w:themeFill="accent3" w:themeFillTint="66"/>
          </w:tcPr>
          <w:p w:rsidR="00DA6235" w:rsidRPr="00C82AE0" w:rsidRDefault="00DA6235" w:rsidP="00B45DB9">
            <w:pPr>
              <w:pStyle w:val="ListBullet"/>
              <w:numPr>
                <w:ilvl w:val="0"/>
                <w:numId w:val="0"/>
              </w:numPr>
              <w:tabs>
                <w:tab w:val="left" w:pos="720"/>
              </w:tabs>
              <w:spacing w:line="276" w:lineRule="auto"/>
              <w:jc w:val="center"/>
              <w:rPr>
                <w:rFonts w:ascii="Arial" w:hAnsi="Arial" w:cs="Arial"/>
                <w:b/>
                <w:sz w:val="22"/>
                <w:szCs w:val="22"/>
              </w:rPr>
            </w:pPr>
            <w:r w:rsidRPr="00C82AE0">
              <w:rPr>
                <w:rFonts w:ascii="Arial" w:hAnsi="Arial" w:cs="Arial"/>
                <w:b/>
                <w:sz w:val="22"/>
                <w:szCs w:val="22"/>
              </w:rPr>
              <w:t>Latest figures reported</w:t>
            </w:r>
          </w:p>
        </w:tc>
        <w:tc>
          <w:tcPr>
            <w:tcW w:w="1771" w:type="dxa"/>
            <w:tcBorders>
              <w:top w:val="single" w:sz="4" w:space="0" w:color="auto"/>
              <w:left w:val="single" w:sz="4" w:space="0" w:color="auto"/>
              <w:right w:val="single" w:sz="4" w:space="0" w:color="auto"/>
            </w:tcBorders>
            <w:shd w:val="clear" w:color="auto" w:fill="D6E3BC" w:themeFill="accent3" w:themeFillTint="66"/>
          </w:tcPr>
          <w:p w:rsidR="00DA6235" w:rsidRPr="00C82AE0" w:rsidRDefault="00DA6235" w:rsidP="00B45DB9">
            <w:pPr>
              <w:pStyle w:val="ListBullet"/>
              <w:numPr>
                <w:ilvl w:val="0"/>
                <w:numId w:val="0"/>
              </w:numPr>
              <w:tabs>
                <w:tab w:val="left" w:pos="720"/>
              </w:tabs>
              <w:spacing w:line="276" w:lineRule="auto"/>
              <w:jc w:val="center"/>
              <w:rPr>
                <w:rFonts w:ascii="Arial" w:hAnsi="Arial" w:cs="Arial"/>
                <w:b/>
                <w:sz w:val="22"/>
                <w:szCs w:val="22"/>
              </w:rPr>
            </w:pPr>
            <w:r w:rsidRPr="00C82AE0">
              <w:rPr>
                <w:rFonts w:ascii="Arial" w:hAnsi="Arial" w:cs="Arial"/>
                <w:b/>
                <w:sz w:val="22"/>
                <w:szCs w:val="22"/>
              </w:rPr>
              <w:t>Short Term Target (1 year)</w:t>
            </w:r>
          </w:p>
        </w:tc>
        <w:tc>
          <w:tcPr>
            <w:tcW w:w="2494" w:type="dxa"/>
            <w:tcBorders>
              <w:top w:val="single" w:sz="4" w:space="0" w:color="auto"/>
              <w:left w:val="single" w:sz="4" w:space="0" w:color="auto"/>
              <w:right w:val="single" w:sz="4" w:space="0" w:color="auto"/>
            </w:tcBorders>
            <w:shd w:val="clear" w:color="auto" w:fill="D6E3BC" w:themeFill="accent3" w:themeFillTint="66"/>
          </w:tcPr>
          <w:p w:rsidR="00DA6235" w:rsidRPr="00C82AE0" w:rsidRDefault="00DA6235" w:rsidP="00B45DB9">
            <w:pPr>
              <w:pStyle w:val="ListBullet"/>
              <w:numPr>
                <w:ilvl w:val="0"/>
                <w:numId w:val="0"/>
              </w:numPr>
              <w:tabs>
                <w:tab w:val="left" w:pos="720"/>
              </w:tabs>
              <w:spacing w:line="276" w:lineRule="auto"/>
              <w:jc w:val="center"/>
              <w:rPr>
                <w:rFonts w:ascii="Arial" w:hAnsi="Arial" w:cs="Arial"/>
                <w:b/>
                <w:sz w:val="22"/>
                <w:szCs w:val="22"/>
              </w:rPr>
            </w:pPr>
            <w:r w:rsidRPr="00C82AE0">
              <w:rPr>
                <w:rFonts w:ascii="Arial" w:hAnsi="Arial" w:cs="Arial"/>
                <w:b/>
                <w:sz w:val="22"/>
                <w:szCs w:val="22"/>
              </w:rPr>
              <w:t>Medium Term Target (3yr)</w:t>
            </w:r>
          </w:p>
        </w:tc>
        <w:tc>
          <w:tcPr>
            <w:tcW w:w="181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A6235" w:rsidRPr="00C82AE0" w:rsidRDefault="00DA6235" w:rsidP="00B45DB9">
            <w:pPr>
              <w:pStyle w:val="ListBullet"/>
              <w:numPr>
                <w:ilvl w:val="0"/>
                <w:numId w:val="0"/>
              </w:numPr>
              <w:tabs>
                <w:tab w:val="left" w:pos="720"/>
              </w:tabs>
              <w:spacing w:line="276" w:lineRule="auto"/>
              <w:jc w:val="center"/>
              <w:rPr>
                <w:rFonts w:ascii="Arial" w:hAnsi="Arial" w:cs="Arial"/>
                <w:b/>
                <w:sz w:val="22"/>
                <w:szCs w:val="22"/>
              </w:rPr>
            </w:pPr>
            <w:r w:rsidRPr="00C82AE0">
              <w:rPr>
                <w:rFonts w:ascii="Arial" w:hAnsi="Arial" w:cs="Arial"/>
                <w:b/>
                <w:sz w:val="22"/>
                <w:szCs w:val="22"/>
              </w:rPr>
              <w:t>Long Term Target</w:t>
            </w:r>
          </w:p>
          <w:p w:rsidR="00DA6235" w:rsidRPr="00C82AE0" w:rsidRDefault="00DA6235" w:rsidP="00B45DB9">
            <w:pPr>
              <w:pStyle w:val="ListBullet"/>
              <w:numPr>
                <w:ilvl w:val="0"/>
                <w:numId w:val="0"/>
              </w:numPr>
              <w:tabs>
                <w:tab w:val="left" w:pos="720"/>
              </w:tabs>
              <w:spacing w:line="276" w:lineRule="auto"/>
              <w:jc w:val="center"/>
              <w:rPr>
                <w:rFonts w:ascii="Arial" w:hAnsi="Arial" w:cs="Arial"/>
                <w:b/>
                <w:sz w:val="22"/>
                <w:szCs w:val="22"/>
              </w:rPr>
            </w:pPr>
            <w:r w:rsidRPr="00C82AE0">
              <w:rPr>
                <w:rFonts w:ascii="Arial" w:hAnsi="Arial" w:cs="Arial"/>
                <w:b/>
                <w:sz w:val="22"/>
                <w:szCs w:val="22"/>
              </w:rPr>
              <w:t>(10yr)</w:t>
            </w:r>
          </w:p>
        </w:tc>
      </w:tr>
      <w:tr w:rsidR="00DA6235" w:rsidRPr="000A2276" w:rsidTr="00D35FB3">
        <w:trPr>
          <w:trHeight w:val="525"/>
        </w:trPr>
        <w:tc>
          <w:tcPr>
            <w:tcW w:w="4106" w:type="dxa"/>
            <w:tcBorders>
              <w:top w:val="single" w:sz="4" w:space="0" w:color="auto"/>
              <w:left w:val="single" w:sz="4" w:space="0" w:color="auto"/>
              <w:bottom w:val="single" w:sz="4" w:space="0" w:color="auto"/>
              <w:right w:val="single" w:sz="4" w:space="0" w:color="auto"/>
            </w:tcBorders>
            <w:shd w:val="clear" w:color="auto" w:fill="FFFFFF" w:themeFill="background1"/>
          </w:tcPr>
          <w:p w:rsidR="00DA6235" w:rsidRDefault="00896C22" w:rsidP="00B45DB9">
            <w:pPr>
              <w:pStyle w:val="ListBullet"/>
              <w:numPr>
                <w:ilvl w:val="0"/>
                <w:numId w:val="0"/>
              </w:numPr>
              <w:tabs>
                <w:tab w:val="left" w:pos="720"/>
              </w:tabs>
              <w:rPr>
                <w:rFonts w:ascii="Arial" w:hAnsi="Arial" w:cs="Arial"/>
                <w:sz w:val="22"/>
                <w:szCs w:val="22"/>
              </w:rPr>
            </w:pPr>
            <w:r w:rsidRPr="007E3CCB">
              <w:rPr>
                <w:rFonts w:ascii="Arial" w:hAnsi="Arial" w:cs="Arial"/>
                <w:b/>
                <w:sz w:val="22"/>
                <w:szCs w:val="22"/>
              </w:rPr>
              <w:t>Reduce</w:t>
            </w:r>
            <w:r w:rsidR="00315198">
              <w:rPr>
                <w:rFonts w:ascii="Arial" w:hAnsi="Arial" w:cs="Arial"/>
                <w:sz w:val="22"/>
                <w:szCs w:val="22"/>
              </w:rPr>
              <w:t xml:space="preserve"> A</w:t>
            </w:r>
            <w:r w:rsidR="00DA6235" w:rsidRPr="00EB4D77">
              <w:rPr>
                <w:rFonts w:ascii="Arial" w:hAnsi="Arial" w:cs="Arial"/>
                <w:sz w:val="22"/>
                <w:szCs w:val="22"/>
              </w:rPr>
              <w:t>ccident and Emergency Department attendances</w:t>
            </w:r>
            <w:r w:rsidR="00DA6235">
              <w:rPr>
                <w:rFonts w:ascii="Arial" w:hAnsi="Arial" w:cs="Arial"/>
                <w:sz w:val="22"/>
                <w:szCs w:val="22"/>
              </w:rPr>
              <w:t xml:space="preserve"> per 1,000 population</w:t>
            </w:r>
            <w:r w:rsidR="00346C19">
              <w:rPr>
                <w:rFonts w:ascii="Arial" w:hAnsi="Arial" w:cs="Arial"/>
                <w:sz w:val="22"/>
                <w:szCs w:val="22"/>
              </w:rPr>
              <w:t xml:space="preserve"> (65+)</w:t>
            </w:r>
          </w:p>
          <w:p w:rsidR="00346C19" w:rsidRDefault="00346C19" w:rsidP="00B45DB9">
            <w:pPr>
              <w:pStyle w:val="ListBullet"/>
              <w:numPr>
                <w:ilvl w:val="0"/>
                <w:numId w:val="0"/>
              </w:numPr>
              <w:tabs>
                <w:tab w:val="left" w:pos="720"/>
              </w:tabs>
              <w:rPr>
                <w:rFonts w:ascii="Arial" w:hAnsi="Arial" w:cs="Arial"/>
                <w:sz w:val="22"/>
                <w:szCs w:val="22"/>
              </w:rPr>
            </w:pPr>
          </w:p>
          <w:p w:rsidR="00346C19" w:rsidRPr="00EB4D77" w:rsidRDefault="00346C19" w:rsidP="00346C19">
            <w:pPr>
              <w:pStyle w:val="ListBullet"/>
              <w:numPr>
                <w:ilvl w:val="0"/>
                <w:numId w:val="0"/>
              </w:numPr>
              <w:tabs>
                <w:tab w:val="left" w:pos="720"/>
              </w:tabs>
              <w:rPr>
                <w:rFonts w:ascii="Arial" w:hAnsi="Arial" w:cs="Arial"/>
                <w:sz w:val="22"/>
                <w:szCs w:val="22"/>
              </w:rPr>
            </w:pPr>
            <w:r w:rsidRPr="00BC776D">
              <w:rPr>
                <w:rFonts w:ascii="Arial" w:hAnsi="Arial" w:cs="Arial"/>
                <w:b/>
                <w:sz w:val="22"/>
                <w:szCs w:val="22"/>
              </w:rPr>
              <w:t xml:space="preserve">Source: </w:t>
            </w:r>
            <w:r>
              <w:rPr>
                <w:rFonts w:ascii="Arial" w:hAnsi="Arial" w:cs="Arial"/>
                <w:b/>
                <w:sz w:val="22"/>
                <w:szCs w:val="22"/>
              </w:rPr>
              <w:t>ISD List Team</w:t>
            </w:r>
          </w:p>
        </w:tc>
        <w:tc>
          <w:tcPr>
            <w:tcW w:w="1847" w:type="dxa"/>
            <w:tcBorders>
              <w:top w:val="single" w:sz="4" w:space="0" w:color="auto"/>
              <w:left w:val="single" w:sz="4" w:space="0" w:color="auto"/>
              <w:bottom w:val="single" w:sz="4" w:space="0" w:color="auto"/>
              <w:right w:val="single" w:sz="4" w:space="0" w:color="auto"/>
            </w:tcBorders>
          </w:tcPr>
          <w:p w:rsidR="00DA6235" w:rsidRPr="009F71A9" w:rsidRDefault="004806D7"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 </w:t>
            </w:r>
            <w:r w:rsidR="00346C19" w:rsidRPr="009F71A9">
              <w:rPr>
                <w:rFonts w:ascii="Arial" w:hAnsi="Arial" w:cs="Arial"/>
                <w:sz w:val="22"/>
                <w:szCs w:val="22"/>
              </w:rPr>
              <w:t>(2016/17)</w:t>
            </w:r>
          </w:p>
          <w:p w:rsidR="009F71A9" w:rsidRPr="009F71A9" w:rsidRDefault="009F71A9" w:rsidP="004806D7">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418.1 </w:t>
            </w:r>
          </w:p>
          <w:p w:rsidR="009F71A9" w:rsidRPr="009F71A9" w:rsidRDefault="009F71A9" w:rsidP="004806D7">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South Lanarkshire Average</w:t>
            </w:r>
          </w:p>
          <w:p w:rsidR="009F71A9" w:rsidRPr="009F71A9" w:rsidRDefault="009F71A9" w:rsidP="004806D7">
            <w:pPr>
              <w:pStyle w:val="ListBullet"/>
              <w:numPr>
                <w:ilvl w:val="0"/>
                <w:numId w:val="0"/>
              </w:numPr>
              <w:tabs>
                <w:tab w:val="left" w:pos="720"/>
              </w:tabs>
              <w:jc w:val="center"/>
              <w:rPr>
                <w:rFonts w:ascii="Arial" w:hAnsi="Arial" w:cs="Arial"/>
                <w:sz w:val="22"/>
                <w:szCs w:val="22"/>
              </w:rPr>
            </w:pPr>
          </w:p>
          <w:p w:rsidR="004806D7" w:rsidRPr="009F71A9" w:rsidRDefault="004806D7" w:rsidP="004806D7">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319.0 </w:t>
            </w:r>
          </w:p>
          <w:p w:rsidR="00DA6235" w:rsidRPr="009F71A9" w:rsidRDefault="00340825" w:rsidP="009F71A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Scottish Average</w:t>
            </w:r>
          </w:p>
        </w:tc>
        <w:tc>
          <w:tcPr>
            <w:tcW w:w="2139" w:type="dxa"/>
            <w:tcBorders>
              <w:left w:val="single" w:sz="4" w:space="0" w:color="auto"/>
              <w:right w:val="single" w:sz="4" w:space="0" w:color="auto"/>
            </w:tcBorders>
          </w:tcPr>
          <w:p w:rsidR="00DA6235" w:rsidRPr="00DE5F72" w:rsidRDefault="004806D7"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 </w:t>
            </w:r>
            <w:r w:rsidR="00346C19" w:rsidRPr="00DE5F72">
              <w:rPr>
                <w:rFonts w:ascii="Arial" w:hAnsi="Arial" w:cs="Arial"/>
                <w:sz w:val="22"/>
                <w:szCs w:val="22"/>
              </w:rPr>
              <w:t>(201</w:t>
            </w:r>
            <w:r w:rsidR="00DE5F72" w:rsidRPr="00DE5F72">
              <w:rPr>
                <w:rFonts w:ascii="Arial" w:hAnsi="Arial" w:cs="Arial"/>
                <w:sz w:val="22"/>
                <w:szCs w:val="22"/>
              </w:rPr>
              <w:t>7/18</w:t>
            </w:r>
            <w:r w:rsidR="00346C19" w:rsidRPr="00DE5F72">
              <w:rPr>
                <w:rFonts w:ascii="Arial" w:hAnsi="Arial" w:cs="Arial"/>
                <w:sz w:val="22"/>
                <w:szCs w:val="22"/>
              </w:rPr>
              <w:t>)</w:t>
            </w:r>
          </w:p>
          <w:p w:rsidR="004806D7" w:rsidRPr="009F71A9" w:rsidRDefault="00DE5F72" w:rsidP="004806D7">
            <w:pPr>
              <w:pStyle w:val="ListBullet"/>
              <w:numPr>
                <w:ilvl w:val="0"/>
                <w:numId w:val="0"/>
              </w:numPr>
              <w:tabs>
                <w:tab w:val="left" w:pos="720"/>
              </w:tabs>
              <w:jc w:val="center"/>
              <w:rPr>
                <w:rFonts w:ascii="Arial" w:hAnsi="Arial" w:cs="Arial"/>
                <w:sz w:val="22"/>
                <w:szCs w:val="22"/>
              </w:rPr>
            </w:pPr>
            <w:r>
              <w:rPr>
                <w:rFonts w:ascii="Arial" w:hAnsi="Arial" w:cs="Arial"/>
                <w:sz w:val="22"/>
                <w:szCs w:val="22"/>
              </w:rPr>
              <w:t>278</w:t>
            </w:r>
            <w:r w:rsidR="004806D7" w:rsidRPr="009F71A9">
              <w:rPr>
                <w:rFonts w:ascii="Arial" w:hAnsi="Arial" w:cs="Arial"/>
                <w:sz w:val="22"/>
                <w:szCs w:val="22"/>
              </w:rPr>
              <w:t xml:space="preserve"> </w:t>
            </w:r>
            <w:r w:rsidR="00E36046">
              <w:rPr>
                <w:rFonts w:ascii="Arial" w:hAnsi="Arial" w:cs="Arial"/>
                <w:sz w:val="22"/>
                <w:szCs w:val="22"/>
              </w:rPr>
              <w:t>per 1,000</w:t>
            </w:r>
          </w:p>
          <w:p w:rsidR="004806D7" w:rsidRPr="009F71A9" w:rsidRDefault="004806D7" w:rsidP="00B45DB9">
            <w:pPr>
              <w:pStyle w:val="ListBullet"/>
              <w:numPr>
                <w:ilvl w:val="0"/>
                <w:numId w:val="0"/>
              </w:numPr>
              <w:tabs>
                <w:tab w:val="left" w:pos="720"/>
              </w:tabs>
              <w:jc w:val="center"/>
              <w:rPr>
                <w:rFonts w:ascii="Arial" w:hAnsi="Arial" w:cs="Arial"/>
                <w:sz w:val="22"/>
                <w:szCs w:val="22"/>
              </w:rPr>
            </w:pPr>
          </w:p>
          <w:p w:rsidR="00DA6235" w:rsidRPr="009F71A9" w:rsidRDefault="00DA6235" w:rsidP="00B45DB9">
            <w:pPr>
              <w:pStyle w:val="ListBullet"/>
              <w:numPr>
                <w:ilvl w:val="0"/>
                <w:numId w:val="0"/>
              </w:numPr>
              <w:tabs>
                <w:tab w:val="left" w:pos="720"/>
              </w:tabs>
              <w:rPr>
                <w:rFonts w:ascii="Arial" w:hAnsi="Arial" w:cs="Arial"/>
                <w:sz w:val="22"/>
                <w:szCs w:val="22"/>
              </w:rPr>
            </w:pPr>
          </w:p>
        </w:tc>
        <w:tc>
          <w:tcPr>
            <w:tcW w:w="1771" w:type="dxa"/>
            <w:tcBorders>
              <w:left w:val="single" w:sz="4" w:space="0" w:color="auto"/>
              <w:right w:val="single" w:sz="4" w:space="0" w:color="auto"/>
            </w:tcBorders>
          </w:tcPr>
          <w:p w:rsidR="00DA6235" w:rsidRPr="00EB4D77" w:rsidRDefault="00346C19" w:rsidP="00315198">
            <w:pPr>
              <w:pStyle w:val="ListBullet"/>
              <w:numPr>
                <w:ilvl w:val="0"/>
                <w:numId w:val="0"/>
              </w:numPr>
              <w:tabs>
                <w:tab w:val="left" w:pos="720"/>
              </w:tabs>
              <w:jc w:val="center"/>
              <w:rPr>
                <w:rFonts w:ascii="Arial" w:hAnsi="Arial" w:cs="Arial"/>
                <w:sz w:val="22"/>
                <w:szCs w:val="22"/>
              </w:rPr>
            </w:pPr>
            <w:r>
              <w:rPr>
                <w:rFonts w:ascii="Arial" w:hAnsi="Arial" w:cs="Arial"/>
                <w:sz w:val="22"/>
                <w:szCs w:val="22"/>
              </w:rPr>
              <w:t>Maintain</w:t>
            </w:r>
          </w:p>
        </w:tc>
        <w:tc>
          <w:tcPr>
            <w:tcW w:w="2494" w:type="dxa"/>
            <w:tcBorders>
              <w:left w:val="single" w:sz="4" w:space="0" w:color="auto"/>
              <w:right w:val="single" w:sz="4" w:space="0" w:color="auto"/>
            </w:tcBorders>
          </w:tcPr>
          <w:p w:rsidR="00DA6235" w:rsidRPr="00EB4D77" w:rsidRDefault="00DA6235" w:rsidP="00315198">
            <w:pPr>
              <w:pStyle w:val="ListBullet"/>
              <w:numPr>
                <w:ilvl w:val="0"/>
                <w:numId w:val="0"/>
              </w:numPr>
              <w:tabs>
                <w:tab w:val="left" w:pos="720"/>
              </w:tabs>
              <w:jc w:val="center"/>
              <w:rPr>
                <w:rFonts w:ascii="Arial" w:hAnsi="Arial" w:cs="Arial"/>
                <w:sz w:val="22"/>
                <w:szCs w:val="22"/>
              </w:rPr>
            </w:pPr>
            <w:r>
              <w:rPr>
                <w:rFonts w:ascii="Arial" w:hAnsi="Arial" w:cs="Arial"/>
                <w:sz w:val="22"/>
                <w:szCs w:val="22"/>
              </w:rPr>
              <w:t>Reduce</w:t>
            </w:r>
          </w:p>
        </w:tc>
        <w:tc>
          <w:tcPr>
            <w:tcW w:w="1817" w:type="dxa"/>
            <w:tcBorders>
              <w:top w:val="single" w:sz="4" w:space="0" w:color="auto"/>
              <w:left w:val="single" w:sz="4" w:space="0" w:color="auto"/>
              <w:bottom w:val="single" w:sz="4" w:space="0" w:color="auto"/>
              <w:right w:val="single" w:sz="4" w:space="0" w:color="auto"/>
            </w:tcBorders>
          </w:tcPr>
          <w:p w:rsidR="00DA6235" w:rsidRPr="00EB4D77" w:rsidRDefault="00DA6235" w:rsidP="00315198">
            <w:pPr>
              <w:pStyle w:val="ListBullet"/>
              <w:numPr>
                <w:ilvl w:val="0"/>
                <w:numId w:val="0"/>
              </w:numPr>
              <w:tabs>
                <w:tab w:val="left" w:pos="720"/>
              </w:tabs>
              <w:jc w:val="center"/>
              <w:rPr>
                <w:rFonts w:ascii="Arial" w:hAnsi="Arial" w:cs="Arial"/>
                <w:sz w:val="22"/>
                <w:szCs w:val="22"/>
              </w:rPr>
            </w:pPr>
            <w:r>
              <w:rPr>
                <w:rFonts w:ascii="Arial" w:hAnsi="Arial" w:cs="Arial"/>
                <w:sz w:val="22"/>
                <w:szCs w:val="22"/>
              </w:rPr>
              <w:t>Achieve Scottish Average</w:t>
            </w:r>
          </w:p>
        </w:tc>
      </w:tr>
      <w:tr w:rsidR="00DA6235" w:rsidRPr="000A2276" w:rsidTr="00D35FB3">
        <w:trPr>
          <w:trHeight w:val="525"/>
        </w:trPr>
        <w:tc>
          <w:tcPr>
            <w:tcW w:w="4106" w:type="dxa"/>
            <w:tcBorders>
              <w:top w:val="single" w:sz="4" w:space="0" w:color="auto"/>
              <w:left w:val="single" w:sz="4" w:space="0" w:color="auto"/>
              <w:bottom w:val="single" w:sz="4" w:space="0" w:color="auto"/>
              <w:right w:val="single" w:sz="4" w:space="0" w:color="auto"/>
            </w:tcBorders>
            <w:shd w:val="clear" w:color="auto" w:fill="FFFFFF" w:themeFill="background1"/>
          </w:tcPr>
          <w:p w:rsidR="00416FBA" w:rsidRDefault="00896C22" w:rsidP="00346C19">
            <w:pPr>
              <w:pStyle w:val="ListBullet"/>
              <w:numPr>
                <w:ilvl w:val="0"/>
                <w:numId w:val="0"/>
              </w:numPr>
              <w:tabs>
                <w:tab w:val="left" w:pos="720"/>
              </w:tabs>
              <w:rPr>
                <w:rFonts w:ascii="Arial" w:hAnsi="Arial" w:cs="Arial"/>
                <w:sz w:val="22"/>
                <w:szCs w:val="22"/>
              </w:rPr>
            </w:pPr>
            <w:r w:rsidRPr="00340825">
              <w:rPr>
                <w:rFonts w:ascii="Arial" w:hAnsi="Arial" w:cs="Arial"/>
                <w:b/>
                <w:sz w:val="22"/>
                <w:szCs w:val="22"/>
              </w:rPr>
              <w:t>Reduce</w:t>
            </w:r>
            <w:r w:rsidR="00346C19" w:rsidRPr="00896C22">
              <w:rPr>
                <w:rFonts w:ascii="Arial" w:hAnsi="Arial" w:cs="Arial"/>
                <w:sz w:val="22"/>
                <w:szCs w:val="22"/>
              </w:rPr>
              <w:t xml:space="preserve"> c</w:t>
            </w:r>
            <w:r w:rsidR="00DA6235" w:rsidRPr="00896C22">
              <w:rPr>
                <w:rFonts w:ascii="Arial" w:hAnsi="Arial" w:cs="Arial"/>
                <w:sz w:val="22"/>
                <w:szCs w:val="22"/>
              </w:rPr>
              <w:t>o</w:t>
            </w:r>
            <w:r w:rsidR="006101A7">
              <w:rPr>
                <w:rFonts w:ascii="Arial" w:hAnsi="Arial" w:cs="Arial"/>
                <w:sz w:val="22"/>
                <w:szCs w:val="22"/>
              </w:rPr>
              <w:t xml:space="preserve">nversion of Accident and Emergency </w:t>
            </w:r>
            <w:r w:rsidR="00315198">
              <w:rPr>
                <w:rFonts w:ascii="Arial" w:hAnsi="Arial" w:cs="Arial"/>
                <w:sz w:val="22"/>
                <w:szCs w:val="22"/>
              </w:rPr>
              <w:t>attendances to a</w:t>
            </w:r>
            <w:r w:rsidR="00DA6235" w:rsidRPr="00896C22">
              <w:rPr>
                <w:rFonts w:ascii="Arial" w:hAnsi="Arial" w:cs="Arial"/>
                <w:sz w:val="22"/>
                <w:szCs w:val="22"/>
              </w:rPr>
              <w:t xml:space="preserve">dmissions </w:t>
            </w:r>
          </w:p>
          <w:p w:rsidR="00896C22" w:rsidRPr="00896C22" w:rsidRDefault="00896C22" w:rsidP="00346C19">
            <w:pPr>
              <w:pStyle w:val="ListBullet"/>
              <w:numPr>
                <w:ilvl w:val="0"/>
                <w:numId w:val="0"/>
              </w:numPr>
              <w:tabs>
                <w:tab w:val="left" w:pos="720"/>
              </w:tabs>
              <w:rPr>
                <w:rFonts w:ascii="Arial" w:hAnsi="Arial" w:cs="Arial"/>
                <w:sz w:val="22"/>
                <w:szCs w:val="22"/>
              </w:rPr>
            </w:pPr>
          </w:p>
          <w:p w:rsidR="00416FBA" w:rsidRPr="00896C22" w:rsidRDefault="00416FBA" w:rsidP="00346C19">
            <w:pPr>
              <w:pStyle w:val="ListBullet"/>
              <w:numPr>
                <w:ilvl w:val="0"/>
                <w:numId w:val="0"/>
              </w:numPr>
              <w:tabs>
                <w:tab w:val="left" w:pos="720"/>
              </w:tabs>
              <w:rPr>
                <w:rFonts w:ascii="Arial" w:hAnsi="Arial" w:cs="Arial"/>
                <w:sz w:val="22"/>
                <w:szCs w:val="22"/>
              </w:rPr>
            </w:pPr>
            <w:r w:rsidRPr="00896C22">
              <w:rPr>
                <w:rFonts w:ascii="Arial" w:hAnsi="Arial" w:cs="Arial"/>
                <w:b/>
                <w:sz w:val="22"/>
                <w:szCs w:val="22"/>
              </w:rPr>
              <w:t>Source</w:t>
            </w:r>
            <w:r w:rsidR="00896C22" w:rsidRPr="00896C22">
              <w:rPr>
                <w:rFonts w:ascii="Arial" w:hAnsi="Arial" w:cs="Arial"/>
                <w:b/>
                <w:sz w:val="22"/>
                <w:szCs w:val="22"/>
              </w:rPr>
              <w:t>: ISD List Team</w:t>
            </w:r>
          </w:p>
        </w:tc>
        <w:tc>
          <w:tcPr>
            <w:tcW w:w="1847" w:type="dxa"/>
            <w:tcBorders>
              <w:top w:val="single" w:sz="4" w:space="0" w:color="auto"/>
              <w:left w:val="single" w:sz="4" w:space="0" w:color="auto"/>
              <w:bottom w:val="single" w:sz="4" w:space="0" w:color="auto"/>
              <w:right w:val="single" w:sz="4" w:space="0" w:color="auto"/>
            </w:tcBorders>
          </w:tcPr>
          <w:p w:rsidR="004806D7" w:rsidRPr="009F71A9" w:rsidRDefault="004806D7"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 </w:t>
            </w:r>
            <w:r w:rsidR="00896C22" w:rsidRPr="009F71A9">
              <w:rPr>
                <w:rFonts w:ascii="Arial" w:hAnsi="Arial" w:cs="Arial"/>
                <w:sz w:val="22"/>
                <w:szCs w:val="22"/>
              </w:rPr>
              <w:t>(2016/17)</w:t>
            </w:r>
            <w:r w:rsidR="00340825" w:rsidRPr="009F71A9">
              <w:rPr>
                <w:rFonts w:ascii="Arial" w:hAnsi="Arial" w:cs="Arial"/>
                <w:sz w:val="22"/>
                <w:szCs w:val="22"/>
              </w:rPr>
              <w:t xml:space="preserve"> </w:t>
            </w:r>
          </w:p>
          <w:p w:rsidR="009F71A9" w:rsidRPr="009F71A9" w:rsidRDefault="009F71A9"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28% </w:t>
            </w:r>
          </w:p>
          <w:p w:rsidR="009F71A9" w:rsidRPr="009F71A9" w:rsidRDefault="009F71A9"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South Lanarkshire Average</w:t>
            </w:r>
          </w:p>
          <w:p w:rsidR="009F71A9" w:rsidRPr="009F71A9" w:rsidRDefault="009F71A9" w:rsidP="00B45DB9">
            <w:pPr>
              <w:pStyle w:val="ListBullet"/>
              <w:numPr>
                <w:ilvl w:val="0"/>
                <w:numId w:val="0"/>
              </w:numPr>
              <w:tabs>
                <w:tab w:val="left" w:pos="720"/>
              </w:tabs>
              <w:jc w:val="center"/>
              <w:rPr>
                <w:rFonts w:ascii="Arial" w:hAnsi="Arial" w:cs="Arial"/>
                <w:sz w:val="22"/>
                <w:szCs w:val="22"/>
              </w:rPr>
            </w:pPr>
          </w:p>
          <w:p w:rsidR="004806D7" w:rsidRPr="009F71A9" w:rsidRDefault="004806D7" w:rsidP="004806D7">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25% </w:t>
            </w:r>
          </w:p>
          <w:p w:rsidR="00DA6235" w:rsidRPr="009F71A9" w:rsidRDefault="00340825"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Scottish Average</w:t>
            </w:r>
          </w:p>
        </w:tc>
        <w:tc>
          <w:tcPr>
            <w:tcW w:w="2139" w:type="dxa"/>
            <w:tcBorders>
              <w:top w:val="single" w:sz="4" w:space="0" w:color="auto"/>
              <w:left w:val="single" w:sz="4" w:space="0" w:color="auto"/>
              <w:bottom w:val="single" w:sz="4" w:space="0" w:color="auto"/>
              <w:right w:val="single" w:sz="4" w:space="0" w:color="auto"/>
            </w:tcBorders>
          </w:tcPr>
          <w:p w:rsidR="00DA6235" w:rsidRPr="009F71A9" w:rsidRDefault="004806D7"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 </w:t>
            </w:r>
            <w:r w:rsidR="00896C22" w:rsidRPr="009F71A9">
              <w:rPr>
                <w:rFonts w:ascii="Arial" w:hAnsi="Arial" w:cs="Arial"/>
                <w:sz w:val="22"/>
                <w:szCs w:val="22"/>
              </w:rPr>
              <w:t>(201</w:t>
            </w:r>
            <w:r w:rsidR="0067351B">
              <w:rPr>
                <w:rFonts w:ascii="Arial" w:hAnsi="Arial" w:cs="Arial"/>
                <w:sz w:val="22"/>
                <w:szCs w:val="22"/>
              </w:rPr>
              <w:t>7/18</w:t>
            </w:r>
            <w:r w:rsidR="00896C22" w:rsidRPr="009F71A9">
              <w:rPr>
                <w:rFonts w:ascii="Arial" w:hAnsi="Arial" w:cs="Arial"/>
                <w:sz w:val="22"/>
                <w:szCs w:val="22"/>
              </w:rPr>
              <w:t>)</w:t>
            </w:r>
          </w:p>
          <w:p w:rsidR="004806D7" w:rsidRPr="009F71A9" w:rsidRDefault="002F6266" w:rsidP="004806D7">
            <w:pPr>
              <w:pStyle w:val="ListBullet"/>
              <w:numPr>
                <w:ilvl w:val="0"/>
                <w:numId w:val="0"/>
              </w:numPr>
              <w:tabs>
                <w:tab w:val="left" w:pos="720"/>
              </w:tabs>
              <w:jc w:val="center"/>
              <w:rPr>
                <w:rFonts w:ascii="Arial" w:hAnsi="Arial" w:cs="Arial"/>
                <w:sz w:val="22"/>
                <w:szCs w:val="22"/>
              </w:rPr>
            </w:pPr>
            <w:r>
              <w:rPr>
                <w:rFonts w:ascii="Arial" w:hAnsi="Arial" w:cs="Arial"/>
                <w:sz w:val="22"/>
                <w:szCs w:val="22"/>
              </w:rPr>
              <w:t>29</w:t>
            </w:r>
            <w:r w:rsidR="004806D7" w:rsidRPr="009F71A9">
              <w:rPr>
                <w:rFonts w:ascii="Arial" w:hAnsi="Arial" w:cs="Arial"/>
                <w:sz w:val="22"/>
                <w:szCs w:val="22"/>
              </w:rPr>
              <w:t xml:space="preserve">% </w:t>
            </w:r>
          </w:p>
          <w:p w:rsidR="004806D7" w:rsidRPr="009F71A9" w:rsidRDefault="004806D7" w:rsidP="00B45DB9">
            <w:pPr>
              <w:pStyle w:val="ListBullet"/>
              <w:numPr>
                <w:ilvl w:val="0"/>
                <w:numId w:val="0"/>
              </w:numPr>
              <w:tabs>
                <w:tab w:val="left" w:pos="720"/>
              </w:tabs>
              <w:jc w:val="center"/>
              <w:rPr>
                <w:rFonts w:ascii="Arial" w:hAnsi="Arial" w:cs="Arial"/>
                <w:sz w:val="22"/>
                <w:szCs w:val="22"/>
              </w:rPr>
            </w:pPr>
          </w:p>
        </w:tc>
        <w:tc>
          <w:tcPr>
            <w:tcW w:w="1771" w:type="dxa"/>
            <w:tcBorders>
              <w:top w:val="single" w:sz="4" w:space="0" w:color="auto"/>
              <w:left w:val="single" w:sz="4" w:space="0" w:color="auto"/>
              <w:bottom w:val="single" w:sz="4" w:space="0" w:color="auto"/>
              <w:right w:val="single" w:sz="4" w:space="0" w:color="auto"/>
            </w:tcBorders>
          </w:tcPr>
          <w:p w:rsidR="00DA6235" w:rsidRPr="00896C22" w:rsidRDefault="00DA6235" w:rsidP="00315198">
            <w:pPr>
              <w:pStyle w:val="ListBullet"/>
              <w:numPr>
                <w:ilvl w:val="0"/>
                <w:numId w:val="0"/>
              </w:numPr>
              <w:tabs>
                <w:tab w:val="left" w:pos="720"/>
              </w:tabs>
              <w:jc w:val="center"/>
              <w:rPr>
                <w:rFonts w:ascii="Arial" w:hAnsi="Arial" w:cs="Arial"/>
                <w:sz w:val="22"/>
                <w:szCs w:val="22"/>
              </w:rPr>
            </w:pPr>
            <w:r w:rsidRPr="00896C22">
              <w:rPr>
                <w:rFonts w:ascii="Arial" w:hAnsi="Arial" w:cs="Arial"/>
                <w:sz w:val="22"/>
                <w:szCs w:val="22"/>
              </w:rPr>
              <w:t xml:space="preserve">Reduce </w:t>
            </w:r>
            <w:r w:rsidR="00896C22" w:rsidRPr="00896C22">
              <w:rPr>
                <w:rFonts w:ascii="Arial" w:hAnsi="Arial" w:cs="Arial"/>
                <w:sz w:val="22"/>
                <w:szCs w:val="22"/>
              </w:rPr>
              <w:t>by 1%</w:t>
            </w:r>
          </w:p>
        </w:tc>
        <w:tc>
          <w:tcPr>
            <w:tcW w:w="2494" w:type="dxa"/>
            <w:tcBorders>
              <w:top w:val="single" w:sz="4" w:space="0" w:color="auto"/>
              <w:left w:val="single" w:sz="4" w:space="0" w:color="auto"/>
              <w:bottom w:val="single" w:sz="4" w:space="0" w:color="auto"/>
              <w:right w:val="single" w:sz="4" w:space="0" w:color="auto"/>
            </w:tcBorders>
          </w:tcPr>
          <w:p w:rsidR="00DA6235" w:rsidRPr="00896C22" w:rsidRDefault="00896C22" w:rsidP="009F71A9">
            <w:pPr>
              <w:pStyle w:val="ListBullet"/>
              <w:numPr>
                <w:ilvl w:val="0"/>
                <w:numId w:val="0"/>
              </w:numPr>
              <w:tabs>
                <w:tab w:val="left" w:pos="720"/>
              </w:tabs>
              <w:jc w:val="center"/>
              <w:rPr>
                <w:rFonts w:ascii="Arial" w:hAnsi="Arial" w:cs="Arial"/>
                <w:sz w:val="22"/>
                <w:szCs w:val="22"/>
              </w:rPr>
            </w:pPr>
            <w:r w:rsidRPr="00896C22">
              <w:rPr>
                <w:rFonts w:ascii="Arial" w:hAnsi="Arial" w:cs="Arial"/>
                <w:sz w:val="22"/>
                <w:szCs w:val="22"/>
              </w:rPr>
              <w:t xml:space="preserve">Achieve </w:t>
            </w:r>
            <w:r w:rsidR="00DA6235" w:rsidRPr="00896C22">
              <w:rPr>
                <w:rFonts w:ascii="Arial" w:hAnsi="Arial" w:cs="Arial"/>
                <w:sz w:val="22"/>
                <w:szCs w:val="22"/>
              </w:rPr>
              <w:t>Scottish Average</w:t>
            </w:r>
            <w:r w:rsidRPr="00896C22">
              <w:rPr>
                <w:rFonts w:ascii="Arial" w:hAnsi="Arial" w:cs="Arial"/>
                <w:sz w:val="22"/>
                <w:szCs w:val="22"/>
              </w:rPr>
              <w:t xml:space="preserve"> </w:t>
            </w:r>
          </w:p>
        </w:tc>
        <w:tc>
          <w:tcPr>
            <w:tcW w:w="1817" w:type="dxa"/>
            <w:tcBorders>
              <w:top w:val="single" w:sz="4" w:space="0" w:color="auto"/>
              <w:left w:val="single" w:sz="4" w:space="0" w:color="auto"/>
              <w:bottom w:val="single" w:sz="4" w:space="0" w:color="auto"/>
              <w:right w:val="single" w:sz="4" w:space="0" w:color="auto"/>
            </w:tcBorders>
          </w:tcPr>
          <w:p w:rsidR="00DA6235" w:rsidRPr="00896C22" w:rsidRDefault="00DA6235" w:rsidP="00315198">
            <w:pPr>
              <w:pStyle w:val="ListBullet"/>
              <w:numPr>
                <w:ilvl w:val="0"/>
                <w:numId w:val="0"/>
              </w:numPr>
              <w:tabs>
                <w:tab w:val="left" w:pos="720"/>
              </w:tabs>
              <w:jc w:val="center"/>
              <w:rPr>
                <w:rFonts w:ascii="Arial" w:hAnsi="Arial" w:cs="Arial"/>
                <w:sz w:val="22"/>
                <w:szCs w:val="22"/>
              </w:rPr>
            </w:pPr>
            <w:r w:rsidRPr="00896C22">
              <w:rPr>
                <w:rFonts w:ascii="Arial" w:hAnsi="Arial" w:cs="Arial"/>
                <w:sz w:val="22"/>
                <w:szCs w:val="22"/>
              </w:rPr>
              <w:t>Maintain Scottish Average</w:t>
            </w:r>
          </w:p>
        </w:tc>
      </w:tr>
      <w:tr w:rsidR="00DA6235" w:rsidRPr="000A2276" w:rsidTr="00D35FB3">
        <w:trPr>
          <w:trHeight w:val="525"/>
        </w:trPr>
        <w:tc>
          <w:tcPr>
            <w:tcW w:w="4106" w:type="dxa"/>
            <w:tcBorders>
              <w:top w:val="single" w:sz="4" w:space="0" w:color="auto"/>
              <w:left w:val="single" w:sz="4" w:space="0" w:color="auto"/>
              <w:bottom w:val="single" w:sz="4" w:space="0" w:color="auto"/>
              <w:right w:val="single" w:sz="4" w:space="0" w:color="auto"/>
            </w:tcBorders>
            <w:shd w:val="clear" w:color="auto" w:fill="auto"/>
          </w:tcPr>
          <w:p w:rsidR="00DA6235" w:rsidRDefault="004E48AE" w:rsidP="004E48AE">
            <w:pPr>
              <w:pStyle w:val="ListBullet"/>
              <w:numPr>
                <w:ilvl w:val="0"/>
                <w:numId w:val="0"/>
              </w:numPr>
              <w:tabs>
                <w:tab w:val="left" w:pos="720"/>
              </w:tabs>
              <w:rPr>
                <w:rFonts w:ascii="Arial" w:hAnsi="Arial" w:cs="Arial"/>
                <w:sz w:val="22"/>
                <w:szCs w:val="22"/>
              </w:rPr>
            </w:pPr>
            <w:r w:rsidRPr="00340825">
              <w:rPr>
                <w:rFonts w:ascii="Arial" w:hAnsi="Arial" w:cs="Arial"/>
                <w:b/>
                <w:sz w:val="22"/>
                <w:szCs w:val="22"/>
              </w:rPr>
              <w:t>Reduce</w:t>
            </w:r>
            <w:r>
              <w:rPr>
                <w:rFonts w:ascii="Arial" w:hAnsi="Arial" w:cs="Arial"/>
                <w:sz w:val="22"/>
                <w:szCs w:val="22"/>
              </w:rPr>
              <w:t xml:space="preserve"> the E</w:t>
            </w:r>
            <w:r w:rsidR="00DA6235" w:rsidRPr="00505A0F">
              <w:rPr>
                <w:rFonts w:ascii="Arial" w:hAnsi="Arial" w:cs="Arial"/>
                <w:sz w:val="22"/>
                <w:szCs w:val="22"/>
              </w:rPr>
              <w:t>mergency Admission rate per 1</w:t>
            </w:r>
            <w:r>
              <w:rPr>
                <w:rFonts w:ascii="Arial" w:hAnsi="Arial" w:cs="Arial"/>
                <w:sz w:val="22"/>
                <w:szCs w:val="22"/>
              </w:rPr>
              <w:t>00</w:t>
            </w:r>
            <w:r w:rsidR="00DA6235" w:rsidRPr="00505A0F">
              <w:rPr>
                <w:rFonts w:ascii="Arial" w:hAnsi="Arial" w:cs="Arial"/>
                <w:sz w:val="22"/>
                <w:szCs w:val="22"/>
              </w:rPr>
              <w:t xml:space="preserve">,000 population </w:t>
            </w:r>
          </w:p>
          <w:p w:rsidR="004E48AE" w:rsidRDefault="004E48AE" w:rsidP="004E48AE">
            <w:pPr>
              <w:pStyle w:val="ListBullet"/>
              <w:numPr>
                <w:ilvl w:val="0"/>
                <w:numId w:val="0"/>
              </w:numPr>
              <w:tabs>
                <w:tab w:val="left" w:pos="720"/>
              </w:tabs>
              <w:rPr>
                <w:rFonts w:ascii="Arial" w:hAnsi="Arial" w:cs="Arial"/>
                <w:sz w:val="22"/>
                <w:szCs w:val="22"/>
              </w:rPr>
            </w:pPr>
          </w:p>
          <w:p w:rsidR="004E48AE" w:rsidRPr="00505A0F" w:rsidRDefault="004E48AE" w:rsidP="004E48AE">
            <w:pPr>
              <w:pStyle w:val="ListBullet"/>
              <w:numPr>
                <w:ilvl w:val="0"/>
                <w:numId w:val="0"/>
              </w:numPr>
              <w:tabs>
                <w:tab w:val="left" w:pos="720"/>
              </w:tabs>
              <w:rPr>
                <w:rFonts w:ascii="Arial" w:hAnsi="Arial" w:cs="Arial"/>
                <w:sz w:val="22"/>
                <w:szCs w:val="22"/>
              </w:rPr>
            </w:pPr>
            <w:r w:rsidRPr="00BC776D">
              <w:rPr>
                <w:rFonts w:ascii="Arial" w:hAnsi="Arial" w:cs="Arial"/>
                <w:b/>
                <w:sz w:val="22"/>
                <w:szCs w:val="22"/>
              </w:rPr>
              <w:t xml:space="preserve">Source: </w:t>
            </w:r>
            <w:r>
              <w:rPr>
                <w:rFonts w:ascii="Arial" w:hAnsi="Arial" w:cs="Arial"/>
                <w:b/>
                <w:sz w:val="22"/>
                <w:szCs w:val="22"/>
              </w:rPr>
              <w:t>Core Indicators</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DA6235" w:rsidRPr="009F71A9" w:rsidRDefault="004E48AE" w:rsidP="004E48AE">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 (2016/17) </w:t>
            </w:r>
          </w:p>
          <w:p w:rsidR="009F71A9" w:rsidRPr="009F71A9" w:rsidRDefault="009F71A9" w:rsidP="004E48AE">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13,867 </w:t>
            </w:r>
          </w:p>
          <w:p w:rsidR="009F71A9" w:rsidRPr="009F71A9" w:rsidRDefault="009F71A9" w:rsidP="004E48AE">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South Lanarkshire Average</w:t>
            </w:r>
          </w:p>
          <w:p w:rsidR="009F71A9" w:rsidRPr="009F71A9" w:rsidRDefault="009F71A9" w:rsidP="004E48AE">
            <w:pPr>
              <w:pStyle w:val="ListBullet"/>
              <w:numPr>
                <w:ilvl w:val="0"/>
                <w:numId w:val="0"/>
              </w:numPr>
              <w:tabs>
                <w:tab w:val="left" w:pos="720"/>
              </w:tabs>
              <w:jc w:val="center"/>
              <w:rPr>
                <w:rFonts w:ascii="Arial" w:hAnsi="Arial" w:cs="Arial"/>
                <w:sz w:val="22"/>
                <w:szCs w:val="22"/>
              </w:rPr>
            </w:pPr>
          </w:p>
          <w:p w:rsidR="004806D7" w:rsidRPr="009F71A9" w:rsidRDefault="004806D7" w:rsidP="004E48AE">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12,265</w:t>
            </w:r>
          </w:p>
          <w:p w:rsidR="004E48AE" w:rsidRPr="009F71A9" w:rsidRDefault="00340825" w:rsidP="004E48AE">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Scottish Average</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DA6235" w:rsidRPr="009F71A9" w:rsidRDefault="004806D7" w:rsidP="004E48AE">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 </w:t>
            </w:r>
            <w:r w:rsidR="004E48AE" w:rsidRPr="009F71A9">
              <w:rPr>
                <w:rFonts w:ascii="Arial" w:hAnsi="Arial" w:cs="Arial"/>
                <w:sz w:val="22"/>
                <w:szCs w:val="22"/>
              </w:rPr>
              <w:t>(2017</w:t>
            </w:r>
            <w:r w:rsidR="002F6266">
              <w:rPr>
                <w:rFonts w:ascii="Arial" w:hAnsi="Arial" w:cs="Arial"/>
                <w:sz w:val="22"/>
                <w:szCs w:val="22"/>
              </w:rPr>
              <w:t>/18</w:t>
            </w:r>
            <w:r w:rsidR="004E48AE" w:rsidRPr="009F71A9">
              <w:rPr>
                <w:rFonts w:ascii="Arial" w:hAnsi="Arial" w:cs="Arial"/>
                <w:sz w:val="22"/>
                <w:szCs w:val="22"/>
              </w:rPr>
              <w:t>)</w:t>
            </w:r>
          </w:p>
          <w:p w:rsidR="004806D7" w:rsidRPr="009F71A9" w:rsidRDefault="002F6266" w:rsidP="004806D7">
            <w:pPr>
              <w:pStyle w:val="ListBullet"/>
              <w:numPr>
                <w:ilvl w:val="0"/>
                <w:numId w:val="0"/>
              </w:numPr>
              <w:tabs>
                <w:tab w:val="left" w:pos="720"/>
              </w:tabs>
              <w:jc w:val="center"/>
              <w:rPr>
                <w:rFonts w:ascii="Arial" w:hAnsi="Arial" w:cs="Arial"/>
                <w:sz w:val="22"/>
                <w:szCs w:val="22"/>
              </w:rPr>
            </w:pPr>
            <w:r>
              <w:rPr>
                <w:rFonts w:ascii="Arial" w:hAnsi="Arial" w:cs="Arial"/>
                <w:sz w:val="22"/>
                <w:szCs w:val="22"/>
              </w:rPr>
              <w:t>12,430</w:t>
            </w:r>
          </w:p>
          <w:p w:rsidR="004806D7" w:rsidRPr="009F71A9" w:rsidRDefault="004806D7" w:rsidP="004E48AE">
            <w:pPr>
              <w:pStyle w:val="ListBullet"/>
              <w:numPr>
                <w:ilvl w:val="0"/>
                <w:numId w:val="0"/>
              </w:numPr>
              <w:tabs>
                <w:tab w:val="left" w:pos="720"/>
              </w:tabs>
              <w:jc w:val="center"/>
              <w:rPr>
                <w:rFonts w:ascii="Arial" w:hAnsi="Arial" w:cs="Arial"/>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DA6235" w:rsidRPr="00505A0F" w:rsidRDefault="004E48AE" w:rsidP="00315198">
            <w:pPr>
              <w:pStyle w:val="ListBullet"/>
              <w:numPr>
                <w:ilvl w:val="0"/>
                <w:numId w:val="0"/>
              </w:numPr>
              <w:tabs>
                <w:tab w:val="left" w:pos="720"/>
              </w:tabs>
              <w:jc w:val="center"/>
              <w:rPr>
                <w:rFonts w:ascii="Arial" w:hAnsi="Arial" w:cs="Arial"/>
                <w:sz w:val="22"/>
                <w:szCs w:val="22"/>
              </w:rPr>
            </w:pPr>
            <w:r>
              <w:rPr>
                <w:rFonts w:ascii="Arial" w:hAnsi="Arial" w:cs="Arial"/>
                <w:sz w:val="22"/>
                <w:szCs w:val="22"/>
              </w:rPr>
              <w:t>Maintain</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DA6235" w:rsidRPr="00505A0F" w:rsidRDefault="00DA6235" w:rsidP="00315198">
            <w:pPr>
              <w:pStyle w:val="ListBullet"/>
              <w:numPr>
                <w:ilvl w:val="0"/>
                <w:numId w:val="0"/>
              </w:numPr>
              <w:tabs>
                <w:tab w:val="left" w:pos="720"/>
              </w:tabs>
              <w:jc w:val="center"/>
              <w:rPr>
                <w:rFonts w:ascii="Arial" w:hAnsi="Arial" w:cs="Arial"/>
                <w:sz w:val="22"/>
                <w:szCs w:val="22"/>
              </w:rPr>
            </w:pPr>
            <w:r w:rsidRPr="00505A0F">
              <w:rPr>
                <w:rFonts w:ascii="Arial" w:hAnsi="Arial" w:cs="Arial"/>
                <w:sz w:val="22"/>
                <w:szCs w:val="22"/>
              </w:rPr>
              <w:t>Reduce</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DA6235" w:rsidRPr="00505A0F" w:rsidRDefault="004E48AE" w:rsidP="00315198">
            <w:pPr>
              <w:pStyle w:val="ListBullet"/>
              <w:numPr>
                <w:ilvl w:val="0"/>
                <w:numId w:val="0"/>
              </w:numPr>
              <w:tabs>
                <w:tab w:val="left" w:pos="720"/>
              </w:tabs>
              <w:jc w:val="center"/>
              <w:rPr>
                <w:rFonts w:ascii="Arial" w:hAnsi="Arial" w:cs="Arial"/>
                <w:sz w:val="22"/>
                <w:szCs w:val="22"/>
              </w:rPr>
            </w:pPr>
            <w:r>
              <w:rPr>
                <w:rFonts w:ascii="Arial" w:hAnsi="Arial" w:cs="Arial"/>
                <w:sz w:val="22"/>
                <w:szCs w:val="22"/>
              </w:rPr>
              <w:t>Achieve</w:t>
            </w:r>
            <w:r w:rsidR="00DA6235" w:rsidRPr="00505A0F">
              <w:rPr>
                <w:rFonts w:ascii="Arial" w:hAnsi="Arial" w:cs="Arial"/>
                <w:sz w:val="22"/>
                <w:szCs w:val="22"/>
              </w:rPr>
              <w:t xml:space="preserve"> Scottish Average</w:t>
            </w:r>
          </w:p>
        </w:tc>
      </w:tr>
    </w:tbl>
    <w:p w:rsidR="00C85840" w:rsidRDefault="00C8584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1832"/>
        <w:gridCol w:w="2108"/>
        <w:gridCol w:w="1748"/>
        <w:gridCol w:w="2448"/>
        <w:gridCol w:w="1793"/>
      </w:tblGrid>
      <w:tr w:rsidR="00DA6235" w:rsidRPr="000A2276" w:rsidTr="00D35FB3">
        <w:trPr>
          <w:trHeight w:val="525"/>
        </w:trPr>
        <w:tc>
          <w:tcPr>
            <w:tcW w:w="4106" w:type="dxa"/>
            <w:tcBorders>
              <w:top w:val="single" w:sz="4" w:space="0" w:color="auto"/>
              <w:left w:val="single" w:sz="4" w:space="0" w:color="auto"/>
              <w:bottom w:val="single" w:sz="4" w:space="0" w:color="auto"/>
              <w:right w:val="single" w:sz="4" w:space="0" w:color="auto"/>
            </w:tcBorders>
            <w:shd w:val="clear" w:color="auto" w:fill="FFFFFF" w:themeFill="background1"/>
          </w:tcPr>
          <w:p w:rsidR="00DA6235" w:rsidRDefault="004E48AE" w:rsidP="00B45DB9">
            <w:pPr>
              <w:pStyle w:val="ListBullet"/>
              <w:numPr>
                <w:ilvl w:val="0"/>
                <w:numId w:val="0"/>
              </w:numPr>
              <w:tabs>
                <w:tab w:val="left" w:pos="720"/>
              </w:tabs>
              <w:rPr>
                <w:rFonts w:ascii="Arial" w:hAnsi="Arial" w:cs="Arial"/>
                <w:sz w:val="22"/>
                <w:szCs w:val="22"/>
              </w:rPr>
            </w:pPr>
            <w:r w:rsidRPr="00340825">
              <w:rPr>
                <w:rFonts w:ascii="Arial" w:hAnsi="Arial" w:cs="Arial"/>
                <w:b/>
                <w:sz w:val="22"/>
                <w:szCs w:val="22"/>
              </w:rPr>
              <w:t>Reduce</w:t>
            </w:r>
            <w:r>
              <w:rPr>
                <w:rFonts w:ascii="Arial" w:hAnsi="Arial" w:cs="Arial"/>
                <w:sz w:val="22"/>
                <w:szCs w:val="22"/>
              </w:rPr>
              <w:t xml:space="preserve"> the n</w:t>
            </w:r>
            <w:r w:rsidR="00DA6235" w:rsidRPr="00490B93">
              <w:rPr>
                <w:rFonts w:ascii="Arial" w:hAnsi="Arial" w:cs="Arial"/>
                <w:sz w:val="22"/>
                <w:szCs w:val="22"/>
              </w:rPr>
              <w:t>umber of days people spend in hospital when they are ready to be discharged (per 1,000 population)</w:t>
            </w:r>
            <w:r w:rsidR="000E4F9A">
              <w:rPr>
                <w:rFonts w:ascii="Arial" w:hAnsi="Arial" w:cs="Arial"/>
                <w:sz w:val="22"/>
                <w:szCs w:val="22"/>
              </w:rPr>
              <w:t xml:space="preserve"> (75+</w:t>
            </w:r>
            <w:r w:rsidR="00E41DCB">
              <w:rPr>
                <w:rFonts w:ascii="Arial" w:hAnsi="Arial" w:cs="Arial"/>
                <w:sz w:val="22"/>
                <w:szCs w:val="22"/>
              </w:rPr>
              <w:t>)</w:t>
            </w:r>
          </w:p>
          <w:p w:rsidR="004E48AE" w:rsidRDefault="004E48AE" w:rsidP="00B45DB9">
            <w:pPr>
              <w:pStyle w:val="ListBullet"/>
              <w:numPr>
                <w:ilvl w:val="0"/>
                <w:numId w:val="0"/>
              </w:numPr>
              <w:tabs>
                <w:tab w:val="left" w:pos="720"/>
              </w:tabs>
              <w:rPr>
                <w:rFonts w:ascii="Arial" w:hAnsi="Arial" w:cs="Arial"/>
                <w:sz w:val="22"/>
                <w:szCs w:val="22"/>
              </w:rPr>
            </w:pPr>
          </w:p>
          <w:p w:rsidR="004E48AE" w:rsidRPr="00EB4D77" w:rsidRDefault="004E48AE" w:rsidP="004E48AE">
            <w:pPr>
              <w:pStyle w:val="ListBullet"/>
              <w:numPr>
                <w:ilvl w:val="0"/>
                <w:numId w:val="0"/>
              </w:numPr>
              <w:tabs>
                <w:tab w:val="left" w:pos="720"/>
              </w:tabs>
              <w:rPr>
                <w:rFonts w:ascii="Arial" w:hAnsi="Arial" w:cs="Arial"/>
                <w:sz w:val="22"/>
                <w:szCs w:val="22"/>
              </w:rPr>
            </w:pPr>
            <w:r w:rsidRPr="00BC776D">
              <w:rPr>
                <w:rFonts w:ascii="Arial" w:hAnsi="Arial" w:cs="Arial"/>
                <w:b/>
                <w:sz w:val="22"/>
                <w:szCs w:val="22"/>
              </w:rPr>
              <w:t xml:space="preserve">Source: </w:t>
            </w:r>
            <w:r>
              <w:rPr>
                <w:rFonts w:ascii="Arial" w:hAnsi="Arial" w:cs="Arial"/>
                <w:b/>
                <w:sz w:val="22"/>
                <w:szCs w:val="22"/>
              </w:rPr>
              <w:t>Core Indicators</w:t>
            </w:r>
          </w:p>
        </w:tc>
        <w:tc>
          <w:tcPr>
            <w:tcW w:w="1847" w:type="dxa"/>
            <w:tcBorders>
              <w:top w:val="single" w:sz="4" w:space="0" w:color="auto"/>
              <w:left w:val="single" w:sz="4" w:space="0" w:color="auto"/>
              <w:bottom w:val="single" w:sz="4" w:space="0" w:color="auto"/>
              <w:right w:val="single" w:sz="4" w:space="0" w:color="auto"/>
            </w:tcBorders>
          </w:tcPr>
          <w:p w:rsidR="00DA6235" w:rsidRPr="009F71A9" w:rsidRDefault="004806D7"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 </w:t>
            </w:r>
            <w:r w:rsidR="004E48AE" w:rsidRPr="009F71A9">
              <w:rPr>
                <w:rFonts w:ascii="Arial" w:hAnsi="Arial" w:cs="Arial"/>
                <w:sz w:val="22"/>
                <w:szCs w:val="22"/>
              </w:rPr>
              <w:t>(2016/17)</w:t>
            </w:r>
          </w:p>
          <w:p w:rsidR="009F71A9" w:rsidRPr="009F71A9" w:rsidRDefault="009F71A9" w:rsidP="004806D7">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1,341 </w:t>
            </w:r>
          </w:p>
          <w:p w:rsidR="009F71A9" w:rsidRPr="009F71A9" w:rsidRDefault="009F71A9" w:rsidP="004806D7">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South </w:t>
            </w:r>
          </w:p>
          <w:p w:rsidR="009F71A9" w:rsidRPr="009F71A9" w:rsidRDefault="009F71A9" w:rsidP="004806D7">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Lanarkshire Average</w:t>
            </w:r>
          </w:p>
          <w:p w:rsidR="009F71A9" w:rsidRPr="009F71A9" w:rsidRDefault="009F71A9" w:rsidP="004806D7">
            <w:pPr>
              <w:pStyle w:val="ListBullet"/>
              <w:numPr>
                <w:ilvl w:val="0"/>
                <w:numId w:val="0"/>
              </w:numPr>
              <w:tabs>
                <w:tab w:val="left" w:pos="720"/>
              </w:tabs>
              <w:jc w:val="center"/>
              <w:rPr>
                <w:rFonts w:ascii="Arial" w:hAnsi="Arial" w:cs="Arial"/>
                <w:sz w:val="22"/>
                <w:szCs w:val="22"/>
              </w:rPr>
            </w:pPr>
          </w:p>
          <w:p w:rsidR="004806D7" w:rsidRPr="009F71A9" w:rsidRDefault="004806D7" w:rsidP="004806D7">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842 </w:t>
            </w:r>
          </w:p>
          <w:p w:rsidR="00340825" w:rsidRPr="009F71A9" w:rsidRDefault="00340825"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Scottish Average</w:t>
            </w:r>
          </w:p>
        </w:tc>
        <w:tc>
          <w:tcPr>
            <w:tcW w:w="2139" w:type="dxa"/>
            <w:tcBorders>
              <w:top w:val="single" w:sz="4" w:space="0" w:color="auto"/>
              <w:left w:val="single" w:sz="4" w:space="0" w:color="auto"/>
              <w:bottom w:val="single" w:sz="4" w:space="0" w:color="auto"/>
              <w:right w:val="single" w:sz="4" w:space="0" w:color="auto"/>
            </w:tcBorders>
          </w:tcPr>
          <w:p w:rsidR="00DA6235" w:rsidRPr="009F71A9" w:rsidRDefault="004806D7"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 </w:t>
            </w:r>
            <w:r w:rsidR="00DA6235" w:rsidRPr="009F71A9">
              <w:rPr>
                <w:rFonts w:ascii="Arial" w:hAnsi="Arial" w:cs="Arial"/>
                <w:sz w:val="22"/>
                <w:szCs w:val="22"/>
              </w:rPr>
              <w:t>(201</w:t>
            </w:r>
            <w:r w:rsidR="002F6266">
              <w:rPr>
                <w:rFonts w:ascii="Arial" w:hAnsi="Arial" w:cs="Arial"/>
                <w:sz w:val="22"/>
                <w:szCs w:val="22"/>
              </w:rPr>
              <w:t>7/18</w:t>
            </w:r>
            <w:r w:rsidR="00DA6235" w:rsidRPr="009F71A9">
              <w:rPr>
                <w:rFonts w:ascii="Arial" w:hAnsi="Arial" w:cs="Arial"/>
                <w:sz w:val="22"/>
                <w:szCs w:val="22"/>
              </w:rPr>
              <w:t>)</w:t>
            </w:r>
          </w:p>
          <w:p w:rsidR="004806D7" w:rsidRPr="009F71A9" w:rsidRDefault="002F6266" w:rsidP="004806D7">
            <w:pPr>
              <w:pStyle w:val="ListBullet"/>
              <w:numPr>
                <w:ilvl w:val="0"/>
                <w:numId w:val="0"/>
              </w:numPr>
              <w:tabs>
                <w:tab w:val="left" w:pos="720"/>
              </w:tabs>
              <w:jc w:val="center"/>
              <w:rPr>
                <w:rFonts w:ascii="Arial" w:hAnsi="Arial" w:cs="Arial"/>
                <w:sz w:val="22"/>
                <w:szCs w:val="22"/>
              </w:rPr>
            </w:pPr>
            <w:r>
              <w:rPr>
                <w:rFonts w:ascii="Arial" w:hAnsi="Arial" w:cs="Arial"/>
                <w:sz w:val="22"/>
                <w:szCs w:val="22"/>
              </w:rPr>
              <w:t>1,246</w:t>
            </w:r>
          </w:p>
          <w:p w:rsidR="004806D7" w:rsidRPr="009F71A9" w:rsidRDefault="004806D7" w:rsidP="00B45DB9">
            <w:pPr>
              <w:pStyle w:val="ListBullet"/>
              <w:numPr>
                <w:ilvl w:val="0"/>
                <w:numId w:val="0"/>
              </w:numPr>
              <w:tabs>
                <w:tab w:val="left" w:pos="720"/>
              </w:tabs>
              <w:jc w:val="center"/>
              <w:rPr>
                <w:rFonts w:ascii="Arial" w:hAnsi="Arial" w:cs="Arial"/>
                <w:sz w:val="22"/>
                <w:szCs w:val="22"/>
              </w:rPr>
            </w:pPr>
          </w:p>
        </w:tc>
        <w:tc>
          <w:tcPr>
            <w:tcW w:w="1771" w:type="dxa"/>
            <w:tcBorders>
              <w:top w:val="single" w:sz="4" w:space="0" w:color="auto"/>
              <w:left w:val="single" w:sz="4" w:space="0" w:color="auto"/>
              <w:bottom w:val="single" w:sz="4" w:space="0" w:color="auto"/>
              <w:right w:val="single" w:sz="4" w:space="0" w:color="auto"/>
            </w:tcBorders>
          </w:tcPr>
          <w:p w:rsidR="00DA6235" w:rsidRPr="00EB4D77" w:rsidRDefault="00DA6235" w:rsidP="00315198">
            <w:pPr>
              <w:pStyle w:val="ListBullet"/>
              <w:numPr>
                <w:ilvl w:val="0"/>
                <w:numId w:val="0"/>
              </w:numPr>
              <w:tabs>
                <w:tab w:val="left" w:pos="720"/>
              </w:tabs>
              <w:jc w:val="center"/>
              <w:rPr>
                <w:rFonts w:ascii="Arial" w:hAnsi="Arial" w:cs="Arial"/>
                <w:sz w:val="22"/>
                <w:szCs w:val="22"/>
              </w:rPr>
            </w:pPr>
            <w:r>
              <w:rPr>
                <w:rFonts w:ascii="Arial" w:hAnsi="Arial" w:cs="Arial"/>
                <w:sz w:val="22"/>
                <w:szCs w:val="22"/>
              </w:rPr>
              <w:t>Reduce</w:t>
            </w:r>
          </w:p>
        </w:tc>
        <w:tc>
          <w:tcPr>
            <w:tcW w:w="2494" w:type="dxa"/>
            <w:tcBorders>
              <w:top w:val="single" w:sz="4" w:space="0" w:color="auto"/>
              <w:left w:val="single" w:sz="4" w:space="0" w:color="auto"/>
              <w:bottom w:val="single" w:sz="4" w:space="0" w:color="auto"/>
              <w:right w:val="single" w:sz="4" w:space="0" w:color="auto"/>
            </w:tcBorders>
          </w:tcPr>
          <w:p w:rsidR="00DA6235" w:rsidRPr="00EB4D77" w:rsidRDefault="00DA6235" w:rsidP="00315198">
            <w:pPr>
              <w:pStyle w:val="ListBullet"/>
              <w:numPr>
                <w:ilvl w:val="0"/>
                <w:numId w:val="0"/>
              </w:numPr>
              <w:tabs>
                <w:tab w:val="left" w:pos="720"/>
              </w:tabs>
              <w:jc w:val="center"/>
              <w:rPr>
                <w:rFonts w:ascii="Arial" w:hAnsi="Arial" w:cs="Arial"/>
                <w:sz w:val="22"/>
                <w:szCs w:val="22"/>
              </w:rPr>
            </w:pPr>
            <w:r>
              <w:rPr>
                <w:rFonts w:ascii="Arial" w:hAnsi="Arial" w:cs="Arial"/>
                <w:sz w:val="22"/>
                <w:szCs w:val="22"/>
              </w:rPr>
              <w:t>Reduce</w:t>
            </w:r>
          </w:p>
        </w:tc>
        <w:tc>
          <w:tcPr>
            <w:tcW w:w="1817" w:type="dxa"/>
            <w:tcBorders>
              <w:top w:val="single" w:sz="4" w:space="0" w:color="auto"/>
              <w:left w:val="single" w:sz="4" w:space="0" w:color="auto"/>
              <w:bottom w:val="single" w:sz="4" w:space="0" w:color="auto"/>
              <w:right w:val="single" w:sz="4" w:space="0" w:color="auto"/>
            </w:tcBorders>
          </w:tcPr>
          <w:p w:rsidR="00DA6235" w:rsidRPr="00EB4D77" w:rsidRDefault="00DA6235" w:rsidP="00315198">
            <w:pPr>
              <w:pStyle w:val="ListBullet"/>
              <w:numPr>
                <w:ilvl w:val="0"/>
                <w:numId w:val="0"/>
              </w:numPr>
              <w:tabs>
                <w:tab w:val="left" w:pos="720"/>
              </w:tabs>
              <w:jc w:val="center"/>
              <w:rPr>
                <w:rFonts w:ascii="Arial" w:hAnsi="Arial" w:cs="Arial"/>
                <w:sz w:val="22"/>
                <w:szCs w:val="22"/>
              </w:rPr>
            </w:pPr>
            <w:r>
              <w:rPr>
                <w:rFonts w:ascii="Arial" w:hAnsi="Arial" w:cs="Arial"/>
                <w:sz w:val="22"/>
                <w:szCs w:val="22"/>
              </w:rPr>
              <w:t>Achieve Scottish Ave</w:t>
            </w:r>
            <w:r w:rsidR="00315198">
              <w:rPr>
                <w:rFonts w:ascii="Arial" w:hAnsi="Arial" w:cs="Arial"/>
                <w:sz w:val="22"/>
                <w:szCs w:val="22"/>
              </w:rPr>
              <w:t>rage</w:t>
            </w:r>
          </w:p>
        </w:tc>
      </w:tr>
      <w:tr w:rsidR="00756285" w:rsidRPr="000A2276" w:rsidTr="00D35FB3">
        <w:trPr>
          <w:trHeight w:val="525"/>
        </w:trPr>
        <w:tc>
          <w:tcPr>
            <w:tcW w:w="4106" w:type="dxa"/>
            <w:tcBorders>
              <w:top w:val="single" w:sz="4" w:space="0" w:color="auto"/>
              <w:left w:val="single" w:sz="4" w:space="0" w:color="auto"/>
              <w:bottom w:val="single" w:sz="4" w:space="0" w:color="auto"/>
              <w:right w:val="single" w:sz="4" w:space="0" w:color="auto"/>
            </w:tcBorders>
            <w:shd w:val="clear" w:color="auto" w:fill="auto"/>
          </w:tcPr>
          <w:p w:rsidR="00756285" w:rsidRDefault="00756285" w:rsidP="00756285">
            <w:pPr>
              <w:pStyle w:val="ListBullet"/>
              <w:numPr>
                <w:ilvl w:val="0"/>
                <w:numId w:val="0"/>
              </w:numPr>
              <w:tabs>
                <w:tab w:val="left" w:pos="720"/>
              </w:tabs>
              <w:rPr>
                <w:rFonts w:ascii="Arial" w:hAnsi="Arial" w:cs="Arial"/>
                <w:sz w:val="22"/>
                <w:szCs w:val="22"/>
              </w:rPr>
            </w:pPr>
            <w:r w:rsidRPr="00340825">
              <w:rPr>
                <w:rFonts w:ascii="Arial" w:hAnsi="Arial" w:cs="Arial"/>
                <w:b/>
                <w:sz w:val="22"/>
                <w:szCs w:val="22"/>
              </w:rPr>
              <w:t>Maintain</w:t>
            </w:r>
            <w:r>
              <w:rPr>
                <w:rFonts w:ascii="Arial" w:hAnsi="Arial" w:cs="Arial"/>
                <w:sz w:val="22"/>
                <w:szCs w:val="22"/>
              </w:rPr>
              <w:t xml:space="preserve"> the p</w:t>
            </w:r>
            <w:r w:rsidRPr="00EB4D77">
              <w:rPr>
                <w:rFonts w:ascii="Arial" w:hAnsi="Arial" w:cs="Arial"/>
                <w:sz w:val="22"/>
                <w:szCs w:val="22"/>
              </w:rPr>
              <w:t>ercentage of people who spend their last 6 months in a community setting</w:t>
            </w:r>
            <w:r>
              <w:rPr>
                <w:rFonts w:ascii="Arial" w:hAnsi="Arial" w:cs="Arial"/>
                <w:sz w:val="22"/>
                <w:szCs w:val="22"/>
              </w:rPr>
              <w:t xml:space="preserve"> </w:t>
            </w:r>
          </w:p>
          <w:p w:rsidR="00756285" w:rsidRDefault="00756285" w:rsidP="00756285">
            <w:pPr>
              <w:pStyle w:val="ListBullet"/>
              <w:numPr>
                <w:ilvl w:val="0"/>
                <w:numId w:val="0"/>
              </w:numPr>
              <w:tabs>
                <w:tab w:val="left" w:pos="720"/>
              </w:tabs>
              <w:rPr>
                <w:rFonts w:ascii="Arial" w:hAnsi="Arial" w:cs="Arial"/>
                <w:sz w:val="22"/>
                <w:szCs w:val="22"/>
              </w:rPr>
            </w:pPr>
          </w:p>
          <w:p w:rsidR="00756285" w:rsidRPr="00EB4D77" w:rsidRDefault="00756285" w:rsidP="00756285">
            <w:pPr>
              <w:pStyle w:val="ListBullet"/>
              <w:numPr>
                <w:ilvl w:val="0"/>
                <w:numId w:val="0"/>
              </w:numPr>
              <w:tabs>
                <w:tab w:val="left" w:pos="720"/>
              </w:tabs>
              <w:rPr>
                <w:rFonts w:ascii="Arial" w:hAnsi="Arial" w:cs="Arial"/>
                <w:sz w:val="22"/>
                <w:szCs w:val="22"/>
              </w:rPr>
            </w:pPr>
            <w:r w:rsidRPr="00BC776D">
              <w:rPr>
                <w:rFonts w:ascii="Arial" w:hAnsi="Arial" w:cs="Arial"/>
                <w:b/>
                <w:sz w:val="22"/>
                <w:szCs w:val="22"/>
              </w:rPr>
              <w:t xml:space="preserve">Source: </w:t>
            </w:r>
            <w:r>
              <w:rPr>
                <w:rFonts w:ascii="Arial" w:hAnsi="Arial" w:cs="Arial"/>
                <w:b/>
                <w:sz w:val="22"/>
                <w:szCs w:val="22"/>
              </w:rPr>
              <w:t>Core Indicators</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756285" w:rsidRPr="009F71A9" w:rsidRDefault="004806D7"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 </w:t>
            </w:r>
            <w:r w:rsidR="00756285" w:rsidRPr="009F71A9">
              <w:rPr>
                <w:rFonts w:ascii="Arial" w:hAnsi="Arial" w:cs="Arial"/>
                <w:sz w:val="22"/>
                <w:szCs w:val="22"/>
              </w:rPr>
              <w:t>(2016/17)</w:t>
            </w:r>
          </w:p>
          <w:p w:rsidR="004806D7" w:rsidRPr="009F71A9" w:rsidRDefault="004806D7" w:rsidP="004806D7">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87% </w:t>
            </w:r>
          </w:p>
          <w:p w:rsidR="004806D7" w:rsidRPr="009F71A9" w:rsidRDefault="009F71A9"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South Lanarkshire Average</w:t>
            </w:r>
          </w:p>
          <w:p w:rsidR="009F71A9" w:rsidRPr="009F71A9" w:rsidRDefault="009F71A9" w:rsidP="00B45DB9">
            <w:pPr>
              <w:pStyle w:val="ListBullet"/>
              <w:numPr>
                <w:ilvl w:val="0"/>
                <w:numId w:val="0"/>
              </w:numPr>
              <w:tabs>
                <w:tab w:val="left" w:pos="720"/>
              </w:tabs>
              <w:jc w:val="center"/>
              <w:rPr>
                <w:rFonts w:ascii="Arial" w:hAnsi="Arial" w:cs="Arial"/>
                <w:sz w:val="22"/>
                <w:szCs w:val="22"/>
              </w:rPr>
            </w:pPr>
          </w:p>
          <w:p w:rsidR="009F71A9" w:rsidRPr="009F71A9" w:rsidRDefault="009F71A9"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87%</w:t>
            </w:r>
          </w:p>
          <w:p w:rsidR="009F71A9" w:rsidRPr="009F71A9" w:rsidRDefault="009F71A9"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Scottish Average</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756285" w:rsidRPr="009F71A9" w:rsidRDefault="004806D7" w:rsidP="00B45DB9">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 </w:t>
            </w:r>
            <w:r w:rsidR="0067351B">
              <w:rPr>
                <w:rFonts w:ascii="Arial" w:hAnsi="Arial" w:cs="Arial"/>
                <w:sz w:val="22"/>
                <w:szCs w:val="22"/>
              </w:rPr>
              <w:t>(20</w:t>
            </w:r>
            <w:r w:rsidR="00756285" w:rsidRPr="009F71A9">
              <w:rPr>
                <w:rFonts w:ascii="Arial" w:hAnsi="Arial" w:cs="Arial"/>
                <w:sz w:val="22"/>
                <w:szCs w:val="22"/>
              </w:rPr>
              <w:t>17</w:t>
            </w:r>
            <w:r w:rsidR="0067351B">
              <w:rPr>
                <w:rFonts w:ascii="Arial" w:hAnsi="Arial" w:cs="Arial"/>
                <w:sz w:val="22"/>
                <w:szCs w:val="22"/>
              </w:rPr>
              <w:t>/18</w:t>
            </w:r>
            <w:r w:rsidR="00756285" w:rsidRPr="009F71A9">
              <w:rPr>
                <w:rFonts w:ascii="Arial" w:hAnsi="Arial" w:cs="Arial"/>
                <w:sz w:val="22"/>
                <w:szCs w:val="22"/>
              </w:rPr>
              <w:t>)</w:t>
            </w:r>
          </w:p>
          <w:p w:rsidR="004806D7" w:rsidRPr="009F71A9" w:rsidRDefault="004806D7" w:rsidP="004806D7">
            <w:pPr>
              <w:pStyle w:val="ListBullet"/>
              <w:numPr>
                <w:ilvl w:val="0"/>
                <w:numId w:val="0"/>
              </w:numPr>
              <w:tabs>
                <w:tab w:val="left" w:pos="720"/>
              </w:tabs>
              <w:jc w:val="center"/>
              <w:rPr>
                <w:rFonts w:ascii="Arial" w:hAnsi="Arial" w:cs="Arial"/>
                <w:sz w:val="22"/>
                <w:szCs w:val="22"/>
              </w:rPr>
            </w:pPr>
            <w:r w:rsidRPr="009F71A9">
              <w:rPr>
                <w:rFonts w:ascii="Arial" w:hAnsi="Arial" w:cs="Arial"/>
                <w:sz w:val="22"/>
                <w:szCs w:val="22"/>
              </w:rPr>
              <w:t xml:space="preserve">87% </w:t>
            </w:r>
          </w:p>
          <w:p w:rsidR="004806D7" w:rsidRPr="009F71A9" w:rsidRDefault="004806D7" w:rsidP="00B45DB9">
            <w:pPr>
              <w:pStyle w:val="ListBullet"/>
              <w:numPr>
                <w:ilvl w:val="0"/>
                <w:numId w:val="0"/>
              </w:numPr>
              <w:tabs>
                <w:tab w:val="left" w:pos="720"/>
              </w:tabs>
              <w:jc w:val="center"/>
              <w:rPr>
                <w:rFonts w:ascii="Arial" w:hAnsi="Arial" w:cs="Arial"/>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756285" w:rsidRPr="00EB4D77" w:rsidRDefault="00756285" w:rsidP="009F71A9">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Maintain in line with Scottish Average </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0F3070" w:rsidRDefault="00756285" w:rsidP="00315198">
            <w:pPr>
              <w:pStyle w:val="ListBullet"/>
              <w:numPr>
                <w:ilvl w:val="0"/>
                <w:numId w:val="0"/>
              </w:numPr>
              <w:tabs>
                <w:tab w:val="left" w:pos="720"/>
              </w:tabs>
              <w:jc w:val="center"/>
              <w:rPr>
                <w:rFonts w:ascii="Arial" w:hAnsi="Arial" w:cs="Arial"/>
                <w:sz w:val="22"/>
                <w:szCs w:val="22"/>
              </w:rPr>
            </w:pPr>
            <w:r>
              <w:rPr>
                <w:rFonts w:ascii="Arial" w:hAnsi="Arial" w:cs="Arial"/>
                <w:sz w:val="22"/>
                <w:szCs w:val="22"/>
              </w:rPr>
              <w:t>Maintain in line</w:t>
            </w:r>
          </w:p>
          <w:p w:rsidR="000F3070" w:rsidRDefault="00756285" w:rsidP="00315198">
            <w:pPr>
              <w:pStyle w:val="ListBullet"/>
              <w:numPr>
                <w:ilvl w:val="0"/>
                <w:numId w:val="0"/>
              </w:numPr>
              <w:tabs>
                <w:tab w:val="left" w:pos="720"/>
              </w:tabs>
              <w:jc w:val="center"/>
              <w:rPr>
                <w:rFonts w:ascii="Arial" w:hAnsi="Arial" w:cs="Arial"/>
                <w:sz w:val="22"/>
                <w:szCs w:val="22"/>
              </w:rPr>
            </w:pPr>
            <w:r>
              <w:rPr>
                <w:rFonts w:ascii="Arial" w:hAnsi="Arial" w:cs="Arial"/>
                <w:sz w:val="22"/>
                <w:szCs w:val="22"/>
              </w:rPr>
              <w:t>with Scottish</w:t>
            </w:r>
          </w:p>
          <w:p w:rsidR="00756285" w:rsidRPr="00EB4D77" w:rsidRDefault="00756285" w:rsidP="009F71A9">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Average </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56285" w:rsidRPr="00EB4D77" w:rsidRDefault="00756285" w:rsidP="00315198">
            <w:pPr>
              <w:pStyle w:val="ListBullet"/>
              <w:numPr>
                <w:ilvl w:val="0"/>
                <w:numId w:val="0"/>
              </w:numPr>
              <w:tabs>
                <w:tab w:val="left" w:pos="720"/>
              </w:tabs>
              <w:jc w:val="center"/>
              <w:rPr>
                <w:rFonts w:ascii="Arial" w:hAnsi="Arial" w:cs="Arial"/>
                <w:sz w:val="22"/>
                <w:szCs w:val="22"/>
              </w:rPr>
            </w:pPr>
            <w:r>
              <w:rPr>
                <w:rFonts w:ascii="Arial" w:hAnsi="Arial" w:cs="Arial"/>
                <w:sz w:val="22"/>
                <w:szCs w:val="22"/>
              </w:rPr>
              <w:t>Maintain in line with Scottish Average</w:t>
            </w:r>
          </w:p>
        </w:tc>
      </w:tr>
      <w:tr w:rsidR="00756285" w:rsidRPr="000A2276" w:rsidTr="00D35FB3">
        <w:trPr>
          <w:trHeight w:val="525"/>
        </w:trPr>
        <w:tc>
          <w:tcPr>
            <w:tcW w:w="4106" w:type="dxa"/>
            <w:tcBorders>
              <w:top w:val="single" w:sz="4" w:space="0" w:color="auto"/>
              <w:left w:val="single" w:sz="4" w:space="0" w:color="auto"/>
              <w:bottom w:val="single" w:sz="4" w:space="0" w:color="auto"/>
              <w:right w:val="single" w:sz="4" w:space="0" w:color="auto"/>
            </w:tcBorders>
            <w:shd w:val="clear" w:color="auto" w:fill="auto"/>
          </w:tcPr>
          <w:p w:rsidR="00756285" w:rsidRPr="00893573" w:rsidRDefault="00340825" w:rsidP="00B45DB9">
            <w:pPr>
              <w:pStyle w:val="ListBullet"/>
              <w:numPr>
                <w:ilvl w:val="0"/>
                <w:numId w:val="0"/>
              </w:numPr>
              <w:tabs>
                <w:tab w:val="left" w:pos="720"/>
              </w:tabs>
              <w:rPr>
                <w:rFonts w:ascii="Arial" w:hAnsi="Arial" w:cs="Arial"/>
                <w:sz w:val="22"/>
                <w:szCs w:val="22"/>
              </w:rPr>
            </w:pPr>
            <w:r w:rsidRPr="00340825">
              <w:rPr>
                <w:rFonts w:ascii="Arial" w:hAnsi="Arial" w:cs="Arial"/>
                <w:b/>
                <w:sz w:val="22"/>
                <w:szCs w:val="22"/>
              </w:rPr>
              <w:t>Reduce</w:t>
            </w:r>
            <w:r>
              <w:rPr>
                <w:rFonts w:ascii="Arial" w:hAnsi="Arial" w:cs="Arial"/>
                <w:sz w:val="22"/>
                <w:szCs w:val="22"/>
              </w:rPr>
              <w:t xml:space="preserve"> n</w:t>
            </w:r>
            <w:r w:rsidR="00756285" w:rsidRPr="00893573">
              <w:rPr>
                <w:rFonts w:ascii="Arial" w:hAnsi="Arial" w:cs="Arial"/>
                <w:sz w:val="22"/>
                <w:szCs w:val="22"/>
              </w:rPr>
              <w:t>umber of people in residential care as a percentage of the overall adult population</w:t>
            </w:r>
          </w:p>
          <w:p w:rsidR="008E3625" w:rsidRPr="00893573" w:rsidRDefault="008E3625" w:rsidP="00B45DB9">
            <w:pPr>
              <w:pStyle w:val="ListBullet"/>
              <w:numPr>
                <w:ilvl w:val="0"/>
                <w:numId w:val="0"/>
              </w:numPr>
              <w:tabs>
                <w:tab w:val="left" w:pos="720"/>
              </w:tabs>
              <w:rPr>
                <w:rFonts w:ascii="Arial" w:hAnsi="Arial" w:cs="Arial"/>
                <w:sz w:val="22"/>
                <w:szCs w:val="22"/>
              </w:rPr>
            </w:pPr>
          </w:p>
          <w:p w:rsidR="00416FBA" w:rsidRPr="00893573" w:rsidRDefault="008E3625" w:rsidP="00893573">
            <w:pPr>
              <w:pStyle w:val="ListBullet"/>
              <w:numPr>
                <w:ilvl w:val="0"/>
                <w:numId w:val="0"/>
              </w:numPr>
              <w:tabs>
                <w:tab w:val="left" w:pos="720"/>
              </w:tabs>
              <w:rPr>
                <w:rFonts w:ascii="Arial" w:hAnsi="Arial" w:cs="Arial"/>
                <w:sz w:val="22"/>
                <w:szCs w:val="22"/>
              </w:rPr>
            </w:pPr>
            <w:r w:rsidRPr="00893573">
              <w:rPr>
                <w:rFonts w:ascii="Arial" w:hAnsi="Arial" w:cs="Arial"/>
                <w:b/>
                <w:sz w:val="22"/>
                <w:szCs w:val="22"/>
              </w:rPr>
              <w:t>Source:</w:t>
            </w:r>
            <w:r w:rsidR="00893573" w:rsidRPr="00893573">
              <w:rPr>
                <w:rFonts w:ascii="Arial" w:hAnsi="Arial" w:cs="Arial"/>
                <w:b/>
                <w:sz w:val="22"/>
                <w:szCs w:val="22"/>
              </w:rPr>
              <w:t xml:space="preserve"> IMPROVe</w:t>
            </w:r>
          </w:p>
        </w:tc>
        <w:tc>
          <w:tcPr>
            <w:tcW w:w="1847" w:type="dxa"/>
            <w:tcBorders>
              <w:top w:val="single" w:sz="4" w:space="0" w:color="auto"/>
              <w:left w:val="single" w:sz="4" w:space="0" w:color="auto"/>
              <w:bottom w:val="single" w:sz="4" w:space="0" w:color="auto"/>
              <w:right w:val="single" w:sz="4" w:space="0" w:color="auto"/>
            </w:tcBorders>
            <w:shd w:val="clear" w:color="auto" w:fill="auto"/>
          </w:tcPr>
          <w:p w:rsidR="00756285" w:rsidRDefault="004806D7"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 </w:t>
            </w:r>
            <w:r w:rsidR="00163BBF">
              <w:rPr>
                <w:rFonts w:ascii="Arial" w:hAnsi="Arial" w:cs="Arial"/>
                <w:sz w:val="22"/>
                <w:szCs w:val="22"/>
              </w:rPr>
              <w:t>(Jan 2018)</w:t>
            </w:r>
          </w:p>
          <w:p w:rsidR="004806D7" w:rsidRDefault="004806D7" w:rsidP="004806D7">
            <w:pPr>
              <w:pStyle w:val="ListBullet"/>
              <w:numPr>
                <w:ilvl w:val="0"/>
                <w:numId w:val="0"/>
              </w:numPr>
              <w:tabs>
                <w:tab w:val="left" w:pos="720"/>
              </w:tabs>
              <w:jc w:val="center"/>
              <w:rPr>
                <w:rFonts w:ascii="Arial" w:hAnsi="Arial" w:cs="Arial"/>
                <w:sz w:val="22"/>
                <w:szCs w:val="22"/>
              </w:rPr>
            </w:pPr>
            <w:r w:rsidRPr="00893573">
              <w:rPr>
                <w:rFonts w:ascii="Arial" w:hAnsi="Arial" w:cs="Arial"/>
                <w:sz w:val="22"/>
                <w:szCs w:val="22"/>
              </w:rPr>
              <w:t>3.8%</w:t>
            </w:r>
            <w:r>
              <w:rPr>
                <w:rFonts w:ascii="Arial" w:hAnsi="Arial" w:cs="Arial"/>
                <w:sz w:val="22"/>
                <w:szCs w:val="22"/>
              </w:rPr>
              <w:t xml:space="preserve"> </w:t>
            </w:r>
          </w:p>
          <w:p w:rsidR="004806D7" w:rsidRPr="00893573" w:rsidRDefault="004806D7" w:rsidP="00B45DB9">
            <w:pPr>
              <w:pStyle w:val="ListBullet"/>
              <w:numPr>
                <w:ilvl w:val="0"/>
                <w:numId w:val="0"/>
              </w:numPr>
              <w:tabs>
                <w:tab w:val="left" w:pos="720"/>
              </w:tabs>
              <w:jc w:val="center"/>
              <w:rPr>
                <w:rFonts w:ascii="Arial" w:hAnsi="Arial" w:cs="Arial"/>
                <w:sz w:val="22"/>
                <w:szCs w:val="22"/>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756285" w:rsidRDefault="004806D7" w:rsidP="00B45DB9">
            <w:pPr>
              <w:pStyle w:val="ListBullet"/>
              <w:numPr>
                <w:ilvl w:val="0"/>
                <w:numId w:val="0"/>
              </w:numPr>
              <w:tabs>
                <w:tab w:val="left" w:pos="720"/>
              </w:tabs>
              <w:jc w:val="center"/>
              <w:rPr>
                <w:rFonts w:ascii="Arial" w:hAnsi="Arial" w:cs="Arial"/>
                <w:sz w:val="22"/>
                <w:szCs w:val="22"/>
              </w:rPr>
            </w:pPr>
            <w:r w:rsidRPr="00893573">
              <w:rPr>
                <w:rFonts w:ascii="Arial" w:hAnsi="Arial" w:cs="Arial"/>
                <w:sz w:val="22"/>
                <w:szCs w:val="22"/>
              </w:rPr>
              <w:t xml:space="preserve"> </w:t>
            </w:r>
            <w:r w:rsidR="00756285" w:rsidRPr="00893573">
              <w:rPr>
                <w:rFonts w:ascii="Arial" w:hAnsi="Arial" w:cs="Arial"/>
                <w:sz w:val="22"/>
                <w:szCs w:val="22"/>
              </w:rPr>
              <w:t>(</w:t>
            </w:r>
            <w:r w:rsidR="0067351B">
              <w:rPr>
                <w:rFonts w:ascii="Arial" w:hAnsi="Arial" w:cs="Arial"/>
                <w:sz w:val="22"/>
                <w:szCs w:val="22"/>
              </w:rPr>
              <w:t>March</w:t>
            </w:r>
            <w:r w:rsidR="00163BBF">
              <w:rPr>
                <w:rFonts w:ascii="Arial" w:hAnsi="Arial" w:cs="Arial"/>
                <w:sz w:val="22"/>
                <w:szCs w:val="22"/>
              </w:rPr>
              <w:t xml:space="preserve"> 2018</w:t>
            </w:r>
            <w:r w:rsidR="00756285" w:rsidRPr="00893573">
              <w:rPr>
                <w:rFonts w:ascii="Arial" w:hAnsi="Arial" w:cs="Arial"/>
                <w:sz w:val="22"/>
                <w:szCs w:val="22"/>
              </w:rPr>
              <w:t>)</w:t>
            </w:r>
          </w:p>
          <w:p w:rsidR="004806D7" w:rsidRDefault="0067351B" w:rsidP="004806D7">
            <w:pPr>
              <w:pStyle w:val="ListBullet"/>
              <w:numPr>
                <w:ilvl w:val="0"/>
                <w:numId w:val="0"/>
              </w:numPr>
              <w:tabs>
                <w:tab w:val="left" w:pos="720"/>
              </w:tabs>
              <w:jc w:val="center"/>
              <w:rPr>
                <w:rFonts w:ascii="Arial" w:hAnsi="Arial" w:cs="Arial"/>
                <w:sz w:val="22"/>
                <w:szCs w:val="22"/>
              </w:rPr>
            </w:pPr>
            <w:r>
              <w:rPr>
                <w:rFonts w:ascii="Arial" w:hAnsi="Arial" w:cs="Arial"/>
                <w:sz w:val="22"/>
                <w:szCs w:val="22"/>
              </w:rPr>
              <w:t>3.3</w:t>
            </w:r>
            <w:r w:rsidR="004806D7" w:rsidRPr="00893573">
              <w:rPr>
                <w:rFonts w:ascii="Arial" w:hAnsi="Arial" w:cs="Arial"/>
                <w:sz w:val="22"/>
                <w:szCs w:val="22"/>
              </w:rPr>
              <w:t xml:space="preserve">% </w:t>
            </w:r>
          </w:p>
          <w:p w:rsidR="004806D7" w:rsidRPr="00893573" w:rsidRDefault="004806D7" w:rsidP="00B45DB9">
            <w:pPr>
              <w:pStyle w:val="ListBullet"/>
              <w:numPr>
                <w:ilvl w:val="0"/>
                <w:numId w:val="0"/>
              </w:numPr>
              <w:tabs>
                <w:tab w:val="left" w:pos="720"/>
              </w:tabs>
              <w:jc w:val="center"/>
              <w:rPr>
                <w:rFonts w:ascii="Arial" w:hAnsi="Arial" w:cs="Arial"/>
                <w:sz w:val="22"/>
                <w:szCs w:val="22"/>
              </w:rPr>
            </w:pP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756285" w:rsidRPr="00893573" w:rsidRDefault="00756285" w:rsidP="00315198">
            <w:pPr>
              <w:pStyle w:val="ListBullet"/>
              <w:numPr>
                <w:ilvl w:val="0"/>
                <w:numId w:val="0"/>
              </w:numPr>
              <w:tabs>
                <w:tab w:val="left" w:pos="720"/>
              </w:tabs>
              <w:jc w:val="center"/>
              <w:rPr>
                <w:rFonts w:ascii="Arial" w:hAnsi="Arial" w:cs="Arial"/>
                <w:sz w:val="22"/>
                <w:szCs w:val="22"/>
              </w:rPr>
            </w:pPr>
            <w:r w:rsidRPr="00893573">
              <w:rPr>
                <w:rFonts w:ascii="Arial" w:hAnsi="Arial" w:cs="Arial"/>
                <w:sz w:val="22"/>
                <w:szCs w:val="22"/>
              </w:rPr>
              <w:t>Reduce to 3.6%</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756285" w:rsidRPr="00893573" w:rsidRDefault="00756285" w:rsidP="00315198">
            <w:pPr>
              <w:pStyle w:val="ListBullet"/>
              <w:numPr>
                <w:ilvl w:val="0"/>
                <w:numId w:val="0"/>
              </w:numPr>
              <w:tabs>
                <w:tab w:val="left" w:pos="720"/>
              </w:tabs>
              <w:jc w:val="center"/>
              <w:rPr>
                <w:rFonts w:ascii="Arial" w:hAnsi="Arial" w:cs="Arial"/>
                <w:sz w:val="22"/>
                <w:szCs w:val="22"/>
              </w:rPr>
            </w:pPr>
            <w:r w:rsidRPr="00893573">
              <w:rPr>
                <w:rFonts w:ascii="Arial" w:hAnsi="Arial" w:cs="Arial"/>
                <w:sz w:val="22"/>
                <w:szCs w:val="22"/>
              </w:rPr>
              <w:t>Reduce to 3.3%</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756285" w:rsidRPr="00893573" w:rsidRDefault="00756285" w:rsidP="00315198">
            <w:pPr>
              <w:pStyle w:val="ListBullet"/>
              <w:numPr>
                <w:ilvl w:val="0"/>
                <w:numId w:val="0"/>
              </w:numPr>
              <w:tabs>
                <w:tab w:val="left" w:pos="720"/>
              </w:tabs>
              <w:jc w:val="center"/>
              <w:rPr>
                <w:rFonts w:ascii="Arial" w:hAnsi="Arial" w:cs="Arial"/>
                <w:sz w:val="22"/>
                <w:szCs w:val="22"/>
              </w:rPr>
            </w:pPr>
            <w:r w:rsidRPr="00893573">
              <w:rPr>
                <w:rFonts w:ascii="Arial" w:hAnsi="Arial" w:cs="Arial"/>
                <w:sz w:val="22"/>
                <w:szCs w:val="22"/>
              </w:rPr>
              <w:t>Reduce to 3%</w:t>
            </w:r>
          </w:p>
        </w:tc>
      </w:tr>
      <w:tr w:rsidR="00756285" w:rsidRPr="000A2276" w:rsidTr="00D35FB3">
        <w:trPr>
          <w:trHeight w:val="525"/>
        </w:trPr>
        <w:tc>
          <w:tcPr>
            <w:tcW w:w="4106" w:type="dxa"/>
            <w:tcBorders>
              <w:top w:val="single" w:sz="4" w:space="0" w:color="auto"/>
              <w:left w:val="single" w:sz="4" w:space="0" w:color="auto"/>
              <w:bottom w:val="single" w:sz="4" w:space="0" w:color="auto"/>
              <w:right w:val="single" w:sz="4" w:space="0" w:color="auto"/>
            </w:tcBorders>
            <w:shd w:val="clear" w:color="auto" w:fill="FFFFFF" w:themeFill="background1"/>
          </w:tcPr>
          <w:p w:rsidR="00416FBA" w:rsidRPr="00893573" w:rsidRDefault="00893573" w:rsidP="00B45DB9">
            <w:pPr>
              <w:pStyle w:val="ListBullet"/>
              <w:numPr>
                <w:ilvl w:val="0"/>
                <w:numId w:val="0"/>
              </w:numPr>
              <w:tabs>
                <w:tab w:val="left" w:pos="720"/>
              </w:tabs>
              <w:rPr>
                <w:rFonts w:ascii="Arial" w:hAnsi="Arial" w:cs="Arial"/>
                <w:sz w:val="22"/>
                <w:szCs w:val="22"/>
              </w:rPr>
            </w:pPr>
            <w:r w:rsidRPr="00163BBF">
              <w:rPr>
                <w:rFonts w:ascii="Arial" w:hAnsi="Arial" w:cs="Arial"/>
                <w:b/>
                <w:sz w:val="22"/>
                <w:szCs w:val="22"/>
              </w:rPr>
              <w:t>Increase</w:t>
            </w:r>
            <w:r w:rsidR="00416FBA" w:rsidRPr="00893573">
              <w:rPr>
                <w:rFonts w:ascii="Arial" w:hAnsi="Arial" w:cs="Arial"/>
                <w:sz w:val="22"/>
                <w:szCs w:val="22"/>
              </w:rPr>
              <w:t xml:space="preserve"> the n</w:t>
            </w:r>
            <w:r w:rsidR="00756285" w:rsidRPr="00893573">
              <w:rPr>
                <w:rFonts w:ascii="Arial" w:hAnsi="Arial" w:cs="Arial"/>
                <w:sz w:val="22"/>
                <w:szCs w:val="22"/>
              </w:rPr>
              <w:t>umber of peop</w:t>
            </w:r>
            <w:r w:rsidR="00416FBA" w:rsidRPr="00893573">
              <w:rPr>
                <w:rFonts w:ascii="Arial" w:hAnsi="Arial" w:cs="Arial"/>
                <w:sz w:val="22"/>
                <w:szCs w:val="22"/>
              </w:rPr>
              <w:t>le successfully completing a re</w:t>
            </w:r>
            <w:r w:rsidR="00756285" w:rsidRPr="00893573">
              <w:rPr>
                <w:rFonts w:ascii="Arial" w:hAnsi="Arial" w:cs="Arial"/>
                <w:sz w:val="22"/>
                <w:szCs w:val="22"/>
              </w:rPr>
              <w:t xml:space="preserve">ablement episode </w:t>
            </w:r>
          </w:p>
          <w:p w:rsidR="00416FBA" w:rsidRPr="00893573" w:rsidRDefault="00416FBA" w:rsidP="00B45DB9">
            <w:pPr>
              <w:pStyle w:val="ListBullet"/>
              <w:numPr>
                <w:ilvl w:val="0"/>
                <w:numId w:val="0"/>
              </w:numPr>
              <w:tabs>
                <w:tab w:val="left" w:pos="720"/>
              </w:tabs>
              <w:rPr>
                <w:rFonts w:ascii="Arial" w:hAnsi="Arial" w:cs="Arial"/>
                <w:sz w:val="22"/>
                <w:szCs w:val="22"/>
              </w:rPr>
            </w:pPr>
          </w:p>
          <w:p w:rsidR="00416FBA" w:rsidRPr="00893573" w:rsidRDefault="00416FBA" w:rsidP="00416FBA">
            <w:pPr>
              <w:pStyle w:val="ListBullet"/>
              <w:numPr>
                <w:ilvl w:val="0"/>
                <w:numId w:val="0"/>
              </w:numPr>
              <w:tabs>
                <w:tab w:val="left" w:pos="720"/>
              </w:tabs>
              <w:rPr>
                <w:rFonts w:ascii="Arial" w:hAnsi="Arial" w:cs="Arial"/>
                <w:sz w:val="22"/>
                <w:szCs w:val="22"/>
              </w:rPr>
            </w:pPr>
            <w:r w:rsidRPr="00893573">
              <w:rPr>
                <w:rFonts w:ascii="Arial" w:hAnsi="Arial" w:cs="Arial"/>
                <w:b/>
                <w:sz w:val="22"/>
                <w:szCs w:val="22"/>
              </w:rPr>
              <w:t>Source: IMPROVe</w:t>
            </w:r>
          </w:p>
        </w:tc>
        <w:tc>
          <w:tcPr>
            <w:tcW w:w="1847" w:type="dxa"/>
            <w:tcBorders>
              <w:top w:val="single" w:sz="4" w:space="0" w:color="auto"/>
              <w:left w:val="single" w:sz="4" w:space="0" w:color="auto"/>
              <w:bottom w:val="single" w:sz="4" w:space="0" w:color="auto"/>
              <w:right w:val="single" w:sz="4" w:space="0" w:color="auto"/>
            </w:tcBorders>
          </w:tcPr>
          <w:p w:rsidR="00756285" w:rsidRDefault="004806D7" w:rsidP="00893573">
            <w:pPr>
              <w:pStyle w:val="ListBullet"/>
              <w:numPr>
                <w:ilvl w:val="0"/>
                <w:numId w:val="0"/>
              </w:numPr>
              <w:tabs>
                <w:tab w:val="left" w:pos="720"/>
              </w:tabs>
              <w:jc w:val="center"/>
              <w:rPr>
                <w:rFonts w:ascii="Arial" w:hAnsi="Arial" w:cs="Arial"/>
                <w:sz w:val="22"/>
                <w:szCs w:val="22"/>
              </w:rPr>
            </w:pPr>
            <w:r w:rsidRPr="00893573">
              <w:rPr>
                <w:rFonts w:ascii="Arial" w:hAnsi="Arial" w:cs="Arial"/>
                <w:sz w:val="22"/>
                <w:szCs w:val="22"/>
              </w:rPr>
              <w:t xml:space="preserve"> </w:t>
            </w:r>
            <w:r w:rsidR="00871D33" w:rsidRPr="00893573">
              <w:rPr>
                <w:rFonts w:ascii="Arial" w:hAnsi="Arial" w:cs="Arial"/>
                <w:sz w:val="22"/>
                <w:szCs w:val="22"/>
              </w:rPr>
              <w:t>(2016/17)</w:t>
            </w:r>
          </w:p>
          <w:p w:rsidR="004806D7" w:rsidRDefault="004806D7" w:rsidP="004806D7">
            <w:pPr>
              <w:pStyle w:val="ListBullet"/>
              <w:numPr>
                <w:ilvl w:val="0"/>
                <w:numId w:val="0"/>
              </w:numPr>
              <w:tabs>
                <w:tab w:val="left" w:pos="720"/>
              </w:tabs>
              <w:jc w:val="center"/>
              <w:rPr>
                <w:rFonts w:ascii="Arial" w:hAnsi="Arial" w:cs="Arial"/>
                <w:sz w:val="22"/>
                <w:szCs w:val="22"/>
              </w:rPr>
            </w:pPr>
            <w:r w:rsidRPr="00893573">
              <w:rPr>
                <w:rFonts w:ascii="Arial" w:hAnsi="Arial" w:cs="Arial"/>
                <w:sz w:val="22"/>
                <w:szCs w:val="22"/>
              </w:rPr>
              <w:t xml:space="preserve">1,425 </w:t>
            </w:r>
          </w:p>
          <w:p w:rsidR="004806D7" w:rsidRPr="00893573" w:rsidRDefault="004806D7" w:rsidP="00893573">
            <w:pPr>
              <w:pStyle w:val="ListBullet"/>
              <w:numPr>
                <w:ilvl w:val="0"/>
                <w:numId w:val="0"/>
              </w:numPr>
              <w:tabs>
                <w:tab w:val="left" w:pos="720"/>
              </w:tabs>
              <w:jc w:val="center"/>
              <w:rPr>
                <w:rFonts w:ascii="Arial" w:hAnsi="Arial" w:cs="Arial"/>
                <w:sz w:val="22"/>
                <w:szCs w:val="22"/>
              </w:rPr>
            </w:pPr>
          </w:p>
        </w:tc>
        <w:tc>
          <w:tcPr>
            <w:tcW w:w="2139" w:type="dxa"/>
            <w:tcBorders>
              <w:top w:val="single" w:sz="4" w:space="0" w:color="auto"/>
              <w:left w:val="single" w:sz="4" w:space="0" w:color="auto"/>
              <w:bottom w:val="single" w:sz="4" w:space="0" w:color="auto"/>
              <w:right w:val="single" w:sz="4" w:space="0" w:color="auto"/>
            </w:tcBorders>
          </w:tcPr>
          <w:p w:rsidR="00756285" w:rsidRDefault="004806D7" w:rsidP="00893573">
            <w:pPr>
              <w:pStyle w:val="ListBullet"/>
              <w:numPr>
                <w:ilvl w:val="0"/>
                <w:numId w:val="0"/>
              </w:numPr>
              <w:tabs>
                <w:tab w:val="left" w:pos="720"/>
              </w:tabs>
              <w:jc w:val="center"/>
              <w:rPr>
                <w:rFonts w:ascii="Arial" w:hAnsi="Arial" w:cs="Arial"/>
                <w:sz w:val="22"/>
                <w:szCs w:val="22"/>
              </w:rPr>
            </w:pPr>
            <w:r w:rsidRPr="00893573">
              <w:rPr>
                <w:rFonts w:ascii="Arial" w:hAnsi="Arial" w:cs="Arial"/>
                <w:sz w:val="22"/>
                <w:szCs w:val="22"/>
              </w:rPr>
              <w:t xml:space="preserve"> </w:t>
            </w:r>
            <w:r w:rsidR="0067351B">
              <w:rPr>
                <w:rFonts w:ascii="Arial" w:hAnsi="Arial" w:cs="Arial"/>
                <w:sz w:val="22"/>
                <w:szCs w:val="22"/>
              </w:rPr>
              <w:t>(2017/18</w:t>
            </w:r>
            <w:r w:rsidR="00756285" w:rsidRPr="00893573">
              <w:rPr>
                <w:rFonts w:ascii="Arial" w:hAnsi="Arial" w:cs="Arial"/>
                <w:sz w:val="22"/>
                <w:szCs w:val="22"/>
              </w:rPr>
              <w:t>)</w:t>
            </w:r>
          </w:p>
          <w:p w:rsidR="004806D7" w:rsidRDefault="0067351B" w:rsidP="004806D7">
            <w:pPr>
              <w:pStyle w:val="ListBullet"/>
              <w:numPr>
                <w:ilvl w:val="0"/>
                <w:numId w:val="0"/>
              </w:numPr>
              <w:tabs>
                <w:tab w:val="left" w:pos="720"/>
              </w:tabs>
              <w:jc w:val="center"/>
              <w:rPr>
                <w:rFonts w:ascii="Arial" w:hAnsi="Arial" w:cs="Arial"/>
                <w:sz w:val="22"/>
                <w:szCs w:val="22"/>
              </w:rPr>
            </w:pPr>
            <w:r>
              <w:rPr>
                <w:rFonts w:ascii="Arial" w:hAnsi="Arial" w:cs="Arial"/>
                <w:sz w:val="22"/>
                <w:szCs w:val="22"/>
              </w:rPr>
              <w:t>1,456</w:t>
            </w:r>
          </w:p>
          <w:p w:rsidR="004806D7" w:rsidRPr="00893573" w:rsidRDefault="004806D7" w:rsidP="00893573">
            <w:pPr>
              <w:pStyle w:val="ListBullet"/>
              <w:numPr>
                <w:ilvl w:val="0"/>
                <w:numId w:val="0"/>
              </w:numPr>
              <w:tabs>
                <w:tab w:val="left" w:pos="720"/>
              </w:tabs>
              <w:jc w:val="center"/>
              <w:rPr>
                <w:rFonts w:ascii="Arial" w:hAnsi="Arial" w:cs="Arial"/>
                <w:sz w:val="22"/>
                <w:szCs w:val="22"/>
              </w:rPr>
            </w:pPr>
          </w:p>
        </w:tc>
        <w:tc>
          <w:tcPr>
            <w:tcW w:w="1771" w:type="dxa"/>
            <w:tcBorders>
              <w:top w:val="single" w:sz="4" w:space="0" w:color="auto"/>
              <w:left w:val="single" w:sz="4" w:space="0" w:color="auto"/>
              <w:bottom w:val="single" w:sz="4" w:space="0" w:color="auto"/>
              <w:right w:val="single" w:sz="4" w:space="0" w:color="auto"/>
            </w:tcBorders>
          </w:tcPr>
          <w:p w:rsidR="00756285" w:rsidRPr="00893573" w:rsidRDefault="00756285" w:rsidP="00315198">
            <w:pPr>
              <w:pStyle w:val="ListBullet"/>
              <w:numPr>
                <w:ilvl w:val="0"/>
                <w:numId w:val="0"/>
              </w:numPr>
              <w:tabs>
                <w:tab w:val="left" w:pos="720"/>
              </w:tabs>
              <w:jc w:val="center"/>
              <w:rPr>
                <w:rFonts w:ascii="Arial" w:hAnsi="Arial" w:cs="Arial"/>
                <w:sz w:val="22"/>
                <w:szCs w:val="22"/>
              </w:rPr>
            </w:pPr>
            <w:r w:rsidRPr="00893573">
              <w:rPr>
                <w:rFonts w:ascii="Arial" w:hAnsi="Arial" w:cs="Arial"/>
                <w:sz w:val="22"/>
                <w:szCs w:val="22"/>
              </w:rPr>
              <w:t>Maintain</w:t>
            </w:r>
          </w:p>
        </w:tc>
        <w:tc>
          <w:tcPr>
            <w:tcW w:w="2494" w:type="dxa"/>
            <w:tcBorders>
              <w:top w:val="single" w:sz="4" w:space="0" w:color="auto"/>
              <w:left w:val="single" w:sz="4" w:space="0" w:color="auto"/>
              <w:bottom w:val="single" w:sz="4" w:space="0" w:color="auto"/>
              <w:right w:val="single" w:sz="4" w:space="0" w:color="auto"/>
            </w:tcBorders>
          </w:tcPr>
          <w:p w:rsidR="00756285" w:rsidRPr="00893573" w:rsidRDefault="00893573" w:rsidP="00315198">
            <w:pPr>
              <w:pStyle w:val="ListBullet"/>
              <w:numPr>
                <w:ilvl w:val="0"/>
                <w:numId w:val="0"/>
              </w:numPr>
              <w:tabs>
                <w:tab w:val="left" w:pos="720"/>
              </w:tabs>
              <w:jc w:val="center"/>
              <w:rPr>
                <w:rFonts w:ascii="Arial" w:hAnsi="Arial" w:cs="Arial"/>
                <w:sz w:val="22"/>
                <w:szCs w:val="22"/>
              </w:rPr>
            </w:pPr>
            <w:r w:rsidRPr="00893573">
              <w:rPr>
                <w:rFonts w:ascii="Arial" w:hAnsi="Arial" w:cs="Arial"/>
                <w:sz w:val="22"/>
                <w:szCs w:val="22"/>
              </w:rPr>
              <w:t>Increase</w:t>
            </w:r>
          </w:p>
        </w:tc>
        <w:tc>
          <w:tcPr>
            <w:tcW w:w="1817" w:type="dxa"/>
            <w:tcBorders>
              <w:top w:val="single" w:sz="4" w:space="0" w:color="auto"/>
              <w:left w:val="single" w:sz="4" w:space="0" w:color="auto"/>
              <w:bottom w:val="single" w:sz="4" w:space="0" w:color="auto"/>
              <w:right w:val="single" w:sz="4" w:space="0" w:color="auto"/>
            </w:tcBorders>
          </w:tcPr>
          <w:p w:rsidR="00756285" w:rsidRPr="00893573" w:rsidRDefault="00893573" w:rsidP="00315198">
            <w:pPr>
              <w:pStyle w:val="ListBullet"/>
              <w:numPr>
                <w:ilvl w:val="0"/>
                <w:numId w:val="0"/>
              </w:numPr>
              <w:tabs>
                <w:tab w:val="left" w:pos="720"/>
              </w:tabs>
              <w:jc w:val="center"/>
              <w:rPr>
                <w:rFonts w:ascii="Arial" w:hAnsi="Arial" w:cs="Arial"/>
                <w:sz w:val="22"/>
                <w:szCs w:val="22"/>
              </w:rPr>
            </w:pPr>
            <w:r w:rsidRPr="00893573">
              <w:rPr>
                <w:rFonts w:ascii="Arial" w:hAnsi="Arial" w:cs="Arial"/>
                <w:sz w:val="22"/>
                <w:szCs w:val="22"/>
              </w:rPr>
              <w:t>Increase</w:t>
            </w:r>
          </w:p>
        </w:tc>
      </w:tr>
    </w:tbl>
    <w:p w:rsidR="006F0A74" w:rsidRDefault="006F0A7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3785"/>
        <w:gridCol w:w="3153"/>
        <w:gridCol w:w="2393"/>
        <w:gridCol w:w="1701"/>
      </w:tblGrid>
      <w:tr w:rsidR="00DF2FFE" w:rsidRPr="00773970" w:rsidTr="00E32EBC">
        <w:trPr>
          <w:trHeight w:val="361"/>
        </w:trPr>
        <w:tc>
          <w:tcPr>
            <w:tcW w:w="14174" w:type="dxa"/>
            <w:gridSpan w:val="5"/>
            <w:tcBorders>
              <w:top w:val="single" w:sz="4" w:space="0" w:color="auto"/>
              <w:left w:val="single" w:sz="4" w:space="0" w:color="auto"/>
              <w:bottom w:val="single" w:sz="4" w:space="0" w:color="auto"/>
              <w:right w:val="single" w:sz="4" w:space="0" w:color="auto"/>
            </w:tcBorders>
            <w:shd w:val="clear" w:color="auto" w:fill="E5DFEC"/>
          </w:tcPr>
          <w:p w:rsidR="00DF2FFE" w:rsidRPr="00C82AE0" w:rsidRDefault="00DF2FFE" w:rsidP="00B45DB9">
            <w:pPr>
              <w:pStyle w:val="ListBullet"/>
              <w:numPr>
                <w:ilvl w:val="0"/>
                <w:numId w:val="0"/>
              </w:numPr>
              <w:tabs>
                <w:tab w:val="left" w:pos="720"/>
              </w:tabs>
              <w:rPr>
                <w:rFonts w:ascii="Arial" w:hAnsi="Arial" w:cs="Arial"/>
                <w:b/>
                <w:sz w:val="22"/>
                <w:szCs w:val="22"/>
              </w:rPr>
            </w:pPr>
            <w:r w:rsidRPr="00C82AE0">
              <w:rPr>
                <w:rFonts w:ascii="Arial" w:hAnsi="Arial" w:cs="Arial"/>
                <w:b/>
                <w:sz w:val="22"/>
                <w:szCs w:val="22"/>
              </w:rPr>
              <w:t>We will take the following actions to achieve the outcome above</w:t>
            </w:r>
          </w:p>
        </w:tc>
      </w:tr>
      <w:tr w:rsidR="00DF2FFE" w:rsidRPr="00680A11" w:rsidTr="00D35FB3">
        <w:trPr>
          <w:trHeight w:val="372"/>
        </w:trPr>
        <w:tc>
          <w:tcPr>
            <w:tcW w:w="297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F2FFE" w:rsidRPr="009508A3" w:rsidRDefault="00DF2FFE" w:rsidP="00B45DB9">
            <w:pPr>
              <w:pStyle w:val="ListBullet"/>
              <w:numPr>
                <w:ilvl w:val="0"/>
                <w:numId w:val="0"/>
              </w:numPr>
              <w:tabs>
                <w:tab w:val="left" w:pos="720"/>
              </w:tabs>
              <w:spacing w:line="276" w:lineRule="auto"/>
              <w:jc w:val="center"/>
              <w:rPr>
                <w:rFonts w:ascii="Arial" w:hAnsi="Arial" w:cs="Arial"/>
                <w:b/>
                <w:sz w:val="22"/>
                <w:szCs w:val="22"/>
              </w:rPr>
            </w:pPr>
            <w:r w:rsidRPr="009508A3">
              <w:rPr>
                <w:rFonts w:ascii="Arial" w:hAnsi="Arial" w:cs="Arial"/>
                <w:b/>
                <w:sz w:val="22"/>
                <w:szCs w:val="22"/>
              </w:rPr>
              <w:t>Change Required</w:t>
            </w:r>
          </w:p>
        </w:tc>
        <w:tc>
          <w:tcPr>
            <w:tcW w:w="386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315198" w:rsidRDefault="00DF2FFE" w:rsidP="00B45DB9">
            <w:pPr>
              <w:jc w:val="center"/>
              <w:rPr>
                <w:rFonts w:cs="Arial"/>
                <w:b/>
              </w:rPr>
            </w:pPr>
            <w:r w:rsidRPr="009508A3">
              <w:rPr>
                <w:rFonts w:cs="Arial"/>
                <w:b/>
              </w:rPr>
              <w:t xml:space="preserve">Action to achieve change </w:t>
            </w:r>
          </w:p>
          <w:p w:rsidR="00DF2FFE" w:rsidRPr="009508A3" w:rsidRDefault="00315198" w:rsidP="00B45DB9">
            <w:pPr>
              <w:jc w:val="center"/>
              <w:rPr>
                <w:rFonts w:cs="Arial"/>
                <w:b/>
              </w:rPr>
            </w:pPr>
            <w:r>
              <w:rPr>
                <w:rFonts w:cs="Arial"/>
                <w:b/>
              </w:rPr>
              <w:t>(</w:t>
            </w:r>
            <w:r w:rsidR="00DF2FFE" w:rsidRPr="009508A3">
              <w:rPr>
                <w:rFonts w:cs="Arial"/>
                <w:b/>
              </w:rPr>
              <w:t>including outcome measures and targets)</w:t>
            </w:r>
          </w:p>
        </w:tc>
        <w:tc>
          <w:tcPr>
            <w:tcW w:w="32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F2FFE" w:rsidRPr="009508A3" w:rsidRDefault="00DF2FFE" w:rsidP="00B45DB9">
            <w:pPr>
              <w:jc w:val="center"/>
              <w:rPr>
                <w:rFonts w:cs="Arial"/>
                <w:b/>
              </w:rPr>
            </w:pPr>
            <w:r w:rsidRPr="009508A3">
              <w:rPr>
                <w:rFonts w:cs="Arial"/>
                <w:b/>
              </w:rPr>
              <w:t>Timescale</w:t>
            </w:r>
          </w:p>
        </w:tc>
        <w:tc>
          <w:tcPr>
            <w:tcW w:w="239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F2FFE" w:rsidRPr="009508A3" w:rsidRDefault="00DF2FFE" w:rsidP="00B45DB9">
            <w:pPr>
              <w:jc w:val="center"/>
              <w:rPr>
                <w:rFonts w:cs="Arial"/>
                <w:b/>
              </w:rPr>
            </w:pPr>
            <w:r w:rsidRPr="009508A3">
              <w:rPr>
                <w:rFonts w:cs="Arial"/>
                <w:b/>
              </w:rPr>
              <w:t>Responsibility</w:t>
            </w:r>
          </w:p>
        </w:tc>
        <w:tc>
          <w:tcPr>
            <w:tcW w:w="172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F2FFE" w:rsidRPr="00C82AE0" w:rsidRDefault="00DF2FFE" w:rsidP="00B45DB9">
            <w:pPr>
              <w:jc w:val="center"/>
              <w:rPr>
                <w:rFonts w:cs="Arial"/>
                <w:b/>
              </w:rPr>
            </w:pPr>
            <w:r>
              <w:rPr>
                <w:rFonts w:cs="Arial"/>
                <w:b/>
              </w:rPr>
              <w:t>Poverty focus</w:t>
            </w:r>
          </w:p>
        </w:tc>
      </w:tr>
      <w:tr w:rsidR="00DF2FFE" w:rsidRPr="00680A11" w:rsidTr="00D35FB3">
        <w:trPr>
          <w:trHeight w:val="990"/>
        </w:trPr>
        <w:tc>
          <w:tcPr>
            <w:tcW w:w="2970" w:type="dxa"/>
            <w:vMerge w:val="restart"/>
            <w:tcBorders>
              <w:top w:val="single" w:sz="4" w:space="0" w:color="auto"/>
              <w:left w:val="single" w:sz="4" w:space="0" w:color="auto"/>
              <w:right w:val="single" w:sz="4" w:space="0" w:color="auto"/>
            </w:tcBorders>
            <w:shd w:val="clear" w:color="auto" w:fill="FFFFFF" w:themeFill="background1"/>
          </w:tcPr>
          <w:p w:rsidR="00DF2FFE" w:rsidRPr="00315198" w:rsidRDefault="00DF2FFE" w:rsidP="00C04C28">
            <w:pPr>
              <w:pStyle w:val="ListBullet"/>
              <w:numPr>
                <w:ilvl w:val="0"/>
                <w:numId w:val="0"/>
              </w:numPr>
              <w:tabs>
                <w:tab w:val="left" w:pos="720"/>
              </w:tabs>
              <w:rPr>
                <w:rFonts w:ascii="Arial" w:hAnsi="Arial" w:cs="Arial"/>
                <w:sz w:val="22"/>
                <w:szCs w:val="22"/>
              </w:rPr>
            </w:pPr>
            <w:r w:rsidRPr="00315198">
              <w:rPr>
                <w:rFonts w:ascii="Arial" w:hAnsi="Arial" w:cs="Arial"/>
                <w:sz w:val="22"/>
                <w:szCs w:val="22"/>
              </w:rPr>
              <w:t>Reduce dependency on acute hospital beds to support transition to community based alternatives</w:t>
            </w:r>
          </w:p>
        </w:tc>
        <w:tc>
          <w:tcPr>
            <w:tcW w:w="3862" w:type="dxa"/>
            <w:tcBorders>
              <w:top w:val="single" w:sz="4" w:space="0" w:color="auto"/>
              <w:left w:val="single" w:sz="4" w:space="0" w:color="auto"/>
              <w:bottom w:val="single" w:sz="4" w:space="0" w:color="auto"/>
              <w:right w:val="single" w:sz="4" w:space="0" w:color="auto"/>
            </w:tcBorders>
          </w:tcPr>
          <w:p w:rsidR="00DF2FFE" w:rsidRPr="00C04C28" w:rsidRDefault="00DF2FFE" w:rsidP="00B45DB9">
            <w:r w:rsidRPr="00C04C28">
              <w:t>Dedicate the use of up to 8</w:t>
            </w:r>
            <w:r w:rsidR="004E2ED7">
              <w:t xml:space="preserve"> beds within Stonehouse H</w:t>
            </w:r>
            <w:r w:rsidRPr="00C04C28">
              <w:t xml:space="preserve">ospital to support cases where delays result from </w:t>
            </w:r>
            <w:r w:rsidR="00871D33" w:rsidRPr="00C04C28">
              <w:t xml:space="preserve">Adults with Incapacity </w:t>
            </w:r>
            <w:r w:rsidRPr="00C04C28">
              <w:t xml:space="preserve">Guardianship Orders (AWI) being progressed </w:t>
            </w:r>
          </w:p>
        </w:tc>
        <w:tc>
          <w:tcPr>
            <w:tcW w:w="3220" w:type="dxa"/>
            <w:tcBorders>
              <w:top w:val="single" w:sz="4" w:space="0" w:color="auto"/>
              <w:left w:val="single" w:sz="4" w:space="0" w:color="auto"/>
              <w:bottom w:val="single" w:sz="4" w:space="0" w:color="auto"/>
              <w:right w:val="single" w:sz="4" w:space="0" w:color="auto"/>
            </w:tcBorders>
          </w:tcPr>
          <w:p w:rsidR="00DF2FFE" w:rsidRPr="00963CDA" w:rsidRDefault="00DF2FFE" w:rsidP="00B45DB9">
            <w:pPr>
              <w:jc w:val="center"/>
            </w:pPr>
            <w:r w:rsidRPr="00963CDA">
              <w:t xml:space="preserve">2017/18 </w:t>
            </w:r>
          </w:p>
        </w:tc>
        <w:tc>
          <w:tcPr>
            <w:tcW w:w="2393" w:type="dxa"/>
            <w:tcBorders>
              <w:top w:val="single" w:sz="4" w:space="0" w:color="auto"/>
              <w:left w:val="single" w:sz="4" w:space="0" w:color="auto"/>
              <w:bottom w:val="single" w:sz="4" w:space="0" w:color="auto"/>
              <w:right w:val="single" w:sz="4" w:space="0" w:color="auto"/>
            </w:tcBorders>
          </w:tcPr>
          <w:p w:rsidR="00DF2FFE" w:rsidRPr="00963CDA" w:rsidRDefault="00DF2FFE" w:rsidP="00B45DB9">
            <w:pPr>
              <w:jc w:val="center"/>
            </w:pPr>
            <w:r w:rsidRPr="00963CDA">
              <w:t>Director of Acute Ser</w:t>
            </w:r>
            <w:r w:rsidR="004E2ED7" w:rsidRPr="00963CDA">
              <w:t>vices and</w:t>
            </w:r>
            <w:r w:rsidRPr="00963CDA">
              <w:t xml:space="preserve"> Head of Commissioning and Performance</w:t>
            </w:r>
          </w:p>
        </w:tc>
        <w:tc>
          <w:tcPr>
            <w:tcW w:w="1729" w:type="dxa"/>
            <w:tcBorders>
              <w:top w:val="single" w:sz="4" w:space="0" w:color="auto"/>
              <w:left w:val="single" w:sz="4" w:space="0" w:color="auto"/>
              <w:bottom w:val="single" w:sz="4" w:space="0" w:color="auto"/>
              <w:right w:val="single" w:sz="4" w:space="0" w:color="auto"/>
            </w:tcBorders>
          </w:tcPr>
          <w:p w:rsidR="00DF2FFE" w:rsidRPr="0040382F" w:rsidRDefault="00DF2FFE" w:rsidP="00B45DB9">
            <w:pPr>
              <w:tabs>
                <w:tab w:val="num" w:pos="1671"/>
              </w:tabs>
              <w:jc w:val="center"/>
              <w:rPr>
                <w:rFonts w:cs="Arial"/>
              </w:rPr>
            </w:pPr>
            <w:r w:rsidRPr="0040382F">
              <w:rPr>
                <w:rFonts w:cs="Arial"/>
              </w:rPr>
              <w:t>5</w:t>
            </w:r>
          </w:p>
        </w:tc>
      </w:tr>
      <w:tr w:rsidR="00DF2FFE" w:rsidRPr="00680A11" w:rsidTr="00D35FB3">
        <w:trPr>
          <w:trHeight w:val="990"/>
        </w:trPr>
        <w:tc>
          <w:tcPr>
            <w:tcW w:w="2970" w:type="dxa"/>
            <w:vMerge/>
            <w:tcBorders>
              <w:left w:val="single" w:sz="4" w:space="0" w:color="auto"/>
              <w:right w:val="single" w:sz="4" w:space="0" w:color="auto"/>
            </w:tcBorders>
            <w:shd w:val="clear" w:color="auto" w:fill="FFFFFF" w:themeFill="background1"/>
          </w:tcPr>
          <w:p w:rsidR="00DF2FFE" w:rsidRPr="00315198" w:rsidRDefault="00DF2FFE" w:rsidP="00C04C28">
            <w:pPr>
              <w:pStyle w:val="ListBullet"/>
              <w:numPr>
                <w:ilvl w:val="0"/>
                <w:numId w:val="0"/>
              </w:numPr>
              <w:tabs>
                <w:tab w:val="left" w:pos="720"/>
              </w:tabs>
              <w:rPr>
                <w:rFonts w:ascii="Arial" w:hAnsi="Arial" w:cs="Arial"/>
                <w:color w:val="548DD4" w:themeColor="text2" w:themeTint="99"/>
                <w:sz w:val="22"/>
                <w:szCs w:val="22"/>
              </w:rPr>
            </w:pPr>
          </w:p>
        </w:tc>
        <w:tc>
          <w:tcPr>
            <w:tcW w:w="3862" w:type="dxa"/>
            <w:tcBorders>
              <w:top w:val="single" w:sz="4" w:space="0" w:color="auto"/>
              <w:left w:val="single" w:sz="4" w:space="0" w:color="auto"/>
              <w:bottom w:val="single" w:sz="4" w:space="0" w:color="auto"/>
              <w:right w:val="single" w:sz="4" w:space="0" w:color="auto"/>
            </w:tcBorders>
          </w:tcPr>
          <w:p w:rsidR="00DF2FFE" w:rsidRPr="00C04C28" w:rsidRDefault="00DF2FFE" w:rsidP="00871D33">
            <w:r w:rsidRPr="00C04C28">
              <w:t>Through bed modelling, consider the future use of all hospital beds and potential alternatives to these.  In the Hairmyres catchment area, this would initially concentrate on the in-scope beds</w:t>
            </w:r>
          </w:p>
        </w:tc>
        <w:tc>
          <w:tcPr>
            <w:tcW w:w="3220" w:type="dxa"/>
            <w:tcBorders>
              <w:top w:val="single" w:sz="4" w:space="0" w:color="auto"/>
              <w:left w:val="single" w:sz="4" w:space="0" w:color="auto"/>
              <w:bottom w:val="single" w:sz="4" w:space="0" w:color="auto"/>
              <w:right w:val="single" w:sz="4" w:space="0" w:color="auto"/>
            </w:tcBorders>
          </w:tcPr>
          <w:p w:rsidR="00DF2FFE" w:rsidRPr="00963CDA" w:rsidRDefault="00DF2FFE" w:rsidP="00B45DB9">
            <w:pPr>
              <w:jc w:val="center"/>
            </w:pPr>
            <w:r w:rsidRPr="00963CDA">
              <w:t>2017/18</w:t>
            </w:r>
          </w:p>
        </w:tc>
        <w:tc>
          <w:tcPr>
            <w:tcW w:w="2393" w:type="dxa"/>
            <w:tcBorders>
              <w:top w:val="single" w:sz="4" w:space="0" w:color="auto"/>
              <w:left w:val="single" w:sz="4" w:space="0" w:color="auto"/>
              <w:bottom w:val="single" w:sz="4" w:space="0" w:color="auto"/>
              <w:right w:val="single" w:sz="4" w:space="0" w:color="auto"/>
            </w:tcBorders>
          </w:tcPr>
          <w:p w:rsidR="00DF2FFE" w:rsidRPr="00963CDA" w:rsidRDefault="004E2ED7" w:rsidP="00B45DB9">
            <w:pPr>
              <w:jc w:val="center"/>
            </w:pPr>
            <w:r w:rsidRPr="00963CDA">
              <w:t>Director of Acute Services and</w:t>
            </w:r>
            <w:r w:rsidR="00DF2FFE" w:rsidRPr="00963CDA">
              <w:t xml:space="preserve"> Head of Commissioning and Performance</w:t>
            </w:r>
          </w:p>
        </w:tc>
        <w:tc>
          <w:tcPr>
            <w:tcW w:w="1729" w:type="dxa"/>
            <w:tcBorders>
              <w:top w:val="single" w:sz="4" w:space="0" w:color="auto"/>
              <w:left w:val="single" w:sz="4" w:space="0" w:color="auto"/>
              <w:bottom w:val="single" w:sz="4" w:space="0" w:color="auto"/>
              <w:right w:val="single" w:sz="4" w:space="0" w:color="auto"/>
            </w:tcBorders>
          </w:tcPr>
          <w:p w:rsidR="00DF2FFE" w:rsidRPr="0040382F" w:rsidRDefault="00DF2FFE" w:rsidP="00B45DB9">
            <w:pPr>
              <w:tabs>
                <w:tab w:val="num" w:pos="1671"/>
              </w:tabs>
              <w:jc w:val="center"/>
              <w:rPr>
                <w:rFonts w:cs="Arial"/>
              </w:rPr>
            </w:pPr>
            <w:r w:rsidRPr="0040382F">
              <w:rPr>
                <w:rFonts w:cs="Arial"/>
              </w:rPr>
              <w:t>5</w:t>
            </w:r>
          </w:p>
        </w:tc>
      </w:tr>
      <w:tr w:rsidR="00DF2FFE" w:rsidRPr="00680A11" w:rsidTr="00D35FB3">
        <w:trPr>
          <w:trHeight w:val="990"/>
        </w:trPr>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DF2FFE" w:rsidRPr="00315198" w:rsidRDefault="004C0134" w:rsidP="00C04C28">
            <w:r>
              <w:t>Reducing d</w:t>
            </w:r>
            <w:r w:rsidR="00DF2FFE" w:rsidRPr="00315198">
              <w:t>emand at Hospital Front Door</w:t>
            </w:r>
          </w:p>
        </w:tc>
        <w:tc>
          <w:tcPr>
            <w:tcW w:w="3862" w:type="dxa"/>
            <w:tcBorders>
              <w:top w:val="single" w:sz="4" w:space="0" w:color="auto"/>
              <w:left w:val="single" w:sz="4" w:space="0" w:color="auto"/>
              <w:bottom w:val="single" w:sz="4" w:space="0" w:color="auto"/>
              <w:right w:val="single" w:sz="4" w:space="0" w:color="auto"/>
            </w:tcBorders>
          </w:tcPr>
          <w:p w:rsidR="00DF2FFE" w:rsidRPr="00C04C28" w:rsidRDefault="00DF2FFE" w:rsidP="00871D33">
            <w:r w:rsidRPr="00C04C28">
              <w:t>Introduce re-direction policies with an associated public campaign focused on reducing the number of unnecessary A&amp;E attendances and the alternatives to this</w:t>
            </w:r>
          </w:p>
        </w:tc>
        <w:tc>
          <w:tcPr>
            <w:tcW w:w="3220" w:type="dxa"/>
            <w:tcBorders>
              <w:top w:val="single" w:sz="4" w:space="0" w:color="auto"/>
              <w:left w:val="single" w:sz="4" w:space="0" w:color="auto"/>
              <w:bottom w:val="single" w:sz="4" w:space="0" w:color="auto"/>
              <w:right w:val="single" w:sz="4" w:space="0" w:color="auto"/>
            </w:tcBorders>
          </w:tcPr>
          <w:p w:rsidR="00DE16A0" w:rsidRDefault="00DF2FFE" w:rsidP="004E2ED7">
            <w:pPr>
              <w:jc w:val="center"/>
            </w:pPr>
            <w:r w:rsidRPr="00963CDA">
              <w:t xml:space="preserve">Commencing from </w:t>
            </w:r>
          </w:p>
          <w:p w:rsidR="00DF2FFE" w:rsidRPr="00963CDA" w:rsidRDefault="00DF2FFE" w:rsidP="004E2ED7">
            <w:pPr>
              <w:jc w:val="center"/>
            </w:pPr>
            <w:r w:rsidRPr="00963CDA">
              <w:t>October 2017</w:t>
            </w:r>
          </w:p>
        </w:tc>
        <w:tc>
          <w:tcPr>
            <w:tcW w:w="2393" w:type="dxa"/>
            <w:tcBorders>
              <w:top w:val="single" w:sz="4" w:space="0" w:color="auto"/>
              <w:left w:val="single" w:sz="4" w:space="0" w:color="auto"/>
              <w:bottom w:val="single" w:sz="4" w:space="0" w:color="auto"/>
              <w:right w:val="single" w:sz="4" w:space="0" w:color="auto"/>
            </w:tcBorders>
          </w:tcPr>
          <w:p w:rsidR="00DF2FFE" w:rsidRPr="00963CDA" w:rsidRDefault="00DF2FFE" w:rsidP="00871D33">
            <w:pPr>
              <w:jc w:val="center"/>
            </w:pPr>
            <w:r w:rsidRPr="00963CDA">
              <w:t>Director of Acute Services</w:t>
            </w:r>
            <w:r w:rsidR="00871D33" w:rsidRPr="00963CDA">
              <w:t>/</w:t>
            </w:r>
            <w:r w:rsidRPr="00963CDA">
              <w:t>Dir</w:t>
            </w:r>
            <w:r w:rsidR="00871D33" w:rsidRPr="00963CDA">
              <w:t>ector of Health and Social Care/</w:t>
            </w:r>
            <w:r w:rsidRPr="00963CDA">
              <w:t>Communications Manager</w:t>
            </w:r>
          </w:p>
        </w:tc>
        <w:tc>
          <w:tcPr>
            <w:tcW w:w="1729" w:type="dxa"/>
            <w:tcBorders>
              <w:top w:val="single" w:sz="4" w:space="0" w:color="auto"/>
              <w:left w:val="single" w:sz="4" w:space="0" w:color="auto"/>
              <w:bottom w:val="single" w:sz="4" w:space="0" w:color="auto"/>
              <w:right w:val="single" w:sz="4" w:space="0" w:color="auto"/>
            </w:tcBorders>
          </w:tcPr>
          <w:p w:rsidR="00DF2FFE" w:rsidRPr="0040382F" w:rsidRDefault="00DF2FFE" w:rsidP="00B45DB9">
            <w:pPr>
              <w:tabs>
                <w:tab w:val="num" w:pos="1671"/>
              </w:tabs>
              <w:jc w:val="center"/>
              <w:rPr>
                <w:rFonts w:cs="Arial"/>
              </w:rPr>
            </w:pPr>
            <w:r w:rsidRPr="0040382F">
              <w:rPr>
                <w:rFonts w:cs="Arial"/>
              </w:rPr>
              <w:t>5</w:t>
            </w:r>
          </w:p>
        </w:tc>
      </w:tr>
      <w:tr w:rsidR="00DF2FFE" w:rsidRPr="00680A11" w:rsidTr="00D35FB3">
        <w:trPr>
          <w:trHeight w:val="990"/>
        </w:trPr>
        <w:tc>
          <w:tcPr>
            <w:tcW w:w="2970" w:type="dxa"/>
            <w:vMerge w:val="restart"/>
            <w:tcBorders>
              <w:top w:val="single" w:sz="4" w:space="0" w:color="auto"/>
              <w:left w:val="single" w:sz="4" w:space="0" w:color="auto"/>
              <w:right w:val="single" w:sz="4" w:space="0" w:color="auto"/>
            </w:tcBorders>
            <w:shd w:val="clear" w:color="auto" w:fill="FFFFFF" w:themeFill="background1"/>
          </w:tcPr>
          <w:p w:rsidR="00DF2FFE" w:rsidRPr="00315198" w:rsidRDefault="00DF2FFE" w:rsidP="00C04C28">
            <w:r w:rsidRPr="00315198">
              <w:t>Discharge Planning</w:t>
            </w:r>
          </w:p>
        </w:tc>
        <w:tc>
          <w:tcPr>
            <w:tcW w:w="3862" w:type="dxa"/>
            <w:tcBorders>
              <w:top w:val="single" w:sz="4" w:space="0" w:color="auto"/>
              <w:left w:val="single" w:sz="4" w:space="0" w:color="auto"/>
              <w:bottom w:val="single" w:sz="4" w:space="0" w:color="auto"/>
              <w:right w:val="single" w:sz="4" w:space="0" w:color="auto"/>
            </w:tcBorders>
          </w:tcPr>
          <w:p w:rsidR="00DF2FFE" w:rsidRPr="00C04C28" w:rsidRDefault="00DF2FFE" w:rsidP="00B45DB9">
            <w:r w:rsidRPr="00C04C28">
              <w:t>Reduce the number of referrals for social care assistance to support discharge from hospital to be more in keeping with the national average</w:t>
            </w:r>
          </w:p>
        </w:tc>
        <w:tc>
          <w:tcPr>
            <w:tcW w:w="3220" w:type="dxa"/>
            <w:tcBorders>
              <w:top w:val="single" w:sz="4" w:space="0" w:color="auto"/>
              <w:left w:val="single" w:sz="4" w:space="0" w:color="auto"/>
              <w:bottom w:val="single" w:sz="4" w:space="0" w:color="auto"/>
              <w:right w:val="single" w:sz="4" w:space="0" w:color="auto"/>
            </w:tcBorders>
          </w:tcPr>
          <w:p w:rsidR="00DF2FFE" w:rsidRPr="00963CDA" w:rsidRDefault="00DF2FFE" w:rsidP="00B45DB9">
            <w:pPr>
              <w:jc w:val="center"/>
            </w:pPr>
            <w:r w:rsidRPr="00963CDA">
              <w:t>2017/18</w:t>
            </w:r>
          </w:p>
        </w:tc>
        <w:tc>
          <w:tcPr>
            <w:tcW w:w="2393" w:type="dxa"/>
            <w:tcBorders>
              <w:top w:val="single" w:sz="4" w:space="0" w:color="auto"/>
              <w:left w:val="single" w:sz="4" w:space="0" w:color="auto"/>
              <w:bottom w:val="single" w:sz="4" w:space="0" w:color="auto"/>
              <w:right w:val="single" w:sz="4" w:space="0" w:color="auto"/>
            </w:tcBorders>
          </w:tcPr>
          <w:p w:rsidR="00DF2FFE" w:rsidRPr="00963CDA" w:rsidRDefault="00DF2FFE" w:rsidP="00B45DB9">
            <w:pPr>
              <w:jc w:val="center"/>
            </w:pPr>
            <w:r w:rsidRPr="00963CDA">
              <w:t>Director of Acute Services</w:t>
            </w:r>
          </w:p>
        </w:tc>
        <w:tc>
          <w:tcPr>
            <w:tcW w:w="1729" w:type="dxa"/>
            <w:tcBorders>
              <w:top w:val="single" w:sz="4" w:space="0" w:color="auto"/>
              <w:left w:val="single" w:sz="4" w:space="0" w:color="auto"/>
              <w:bottom w:val="single" w:sz="4" w:space="0" w:color="auto"/>
              <w:right w:val="single" w:sz="4" w:space="0" w:color="auto"/>
            </w:tcBorders>
          </w:tcPr>
          <w:p w:rsidR="00DF2FFE" w:rsidRPr="0040382F" w:rsidRDefault="00DF2FFE" w:rsidP="00B45DB9">
            <w:pPr>
              <w:tabs>
                <w:tab w:val="num" w:pos="1671"/>
              </w:tabs>
              <w:jc w:val="center"/>
              <w:rPr>
                <w:rFonts w:cs="Arial"/>
              </w:rPr>
            </w:pPr>
            <w:r w:rsidRPr="0040382F">
              <w:rPr>
                <w:rFonts w:cs="Arial"/>
              </w:rPr>
              <w:t>5</w:t>
            </w:r>
          </w:p>
        </w:tc>
      </w:tr>
      <w:tr w:rsidR="00DF2FFE" w:rsidRPr="00680A11" w:rsidTr="00D35FB3">
        <w:trPr>
          <w:trHeight w:val="990"/>
        </w:trPr>
        <w:tc>
          <w:tcPr>
            <w:tcW w:w="2970" w:type="dxa"/>
            <w:vMerge/>
            <w:tcBorders>
              <w:left w:val="single" w:sz="4" w:space="0" w:color="auto"/>
              <w:right w:val="single" w:sz="4" w:space="0" w:color="auto"/>
            </w:tcBorders>
            <w:shd w:val="clear" w:color="auto" w:fill="FFFFFF" w:themeFill="background1"/>
          </w:tcPr>
          <w:p w:rsidR="00DF2FFE" w:rsidRPr="00F20A5C" w:rsidRDefault="00DF2FFE" w:rsidP="00B45DB9">
            <w:pPr>
              <w:rPr>
                <w:sz w:val="21"/>
                <w:szCs w:val="21"/>
              </w:rPr>
            </w:pPr>
          </w:p>
        </w:tc>
        <w:tc>
          <w:tcPr>
            <w:tcW w:w="3862" w:type="dxa"/>
            <w:tcBorders>
              <w:top w:val="single" w:sz="4" w:space="0" w:color="auto"/>
              <w:left w:val="single" w:sz="4" w:space="0" w:color="auto"/>
              <w:bottom w:val="single" w:sz="4" w:space="0" w:color="auto"/>
              <w:right w:val="single" w:sz="4" w:space="0" w:color="auto"/>
            </w:tcBorders>
          </w:tcPr>
          <w:p w:rsidR="00DF2FFE" w:rsidRPr="00C04C28" w:rsidRDefault="00DF2FFE" w:rsidP="00B45DB9">
            <w:r w:rsidRPr="00C04C28">
              <w:t>Review the current Discharge HUB arrangements and consider other delivery options, for example locality based models</w:t>
            </w:r>
          </w:p>
        </w:tc>
        <w:tc>
          <w:tcPr>
            <w:tcW w:w="3220" w:type="dxa"/>
            <w:tcBorders>
              <w:top w:val="single" w:sz="4" w:space="0" w:color="auto"/>
              <w:left w:val="single" w:sz="4" w:space="0" w:color="auto"/>
              <w:bottom w:val="single" w:sz="4" w:space="0" w:color="auto"/>
              <w:right w:val="single" w:sz="4" w:space="0" w:color="auto"/>
            </w:tcBorders>
          </w:tcPr>
          <w:p w:rsidR="00DF2FFE" w:rsidRPr="00963CDA" w:rsidRDefault="00DF2FFE" w:rsidP="00B45DB9">
            <w:pPr>
              <w:jc w:val="center"/>
            </w:pPr>
            <w:r w:rsidRPr="00963CDA">
              <w:t>2017/18</w:t>
            </w:r>
          </w:p>
        </w:tc>
        <w:tc>
          <w:tcPr>
            <w:tcW w:w="2393" w:type="dxa"/>
            <w:tcBorders>
              <w:top w:val="single" w:sz="4" w:space="0" w:color="auto"/>
              <w:left w:val="single" w:sz="4" w:space="0" w:color="auto"/>
              <w:bottom w:val="single" w:sz="4" w:space="0" w:color="auto"/>
              <w:right w:val="single" w:sz="4" w:space="0" w:color="auto"/>
            </w:tcBorders>
          </w:tcPr>
          <w:p w:rsidR="00DF2FFE" w:rsidRPr="00963CDA" w:rsidRDefault="00DF2FFE" w:rsidP="00B45DB9">
            <w:pPr>
              <w:jc w:val="center"/>
            </w:pPr>
            <w:r w:rsidRPr="00963CDA">
              <w:t>Heads of Health and Social Care</w:t>
            </w:r>
          </w:p>
        </w:tc>
        <w:tc>
          <w:tcPr>
            <w:tcW w:w="1729" w:type="dxa"/>
            <w:tcBorders>
              <w:top w:val="single" w:sz="4" w:space="0" w:color="auto"/>
              <w:left w:val="single" w:sz="4" w:space="0" w:color="auto"/>
              <w:bottom w:val="single" w:sz="4" w:space="0" w:color="auto"/>
              <w:right w:val="single" w:sz="4" w:space="0" w:color="auto"/>
            </w:tcBorders>
          </w:tcPr>
          <w:p w:rsidR="00DF2FFE" w:rsidRPr="0040382F" w:rsidRDefault="00DF2FFE" w:rsidP="00B45DB9">
            <w:pPr>
              <w:tabs>
                <w:tab w:val="num" w:pos="1671"/>
              </w:tabs>
              <w:jc w:val="center"/>
              <w:rPr>
                <w:rFonts w:cs="Arial"/>
              </w:rPr>
            </w:pPr>
            <w:r w:rsidRPr="0040382F">
              <w:rPr>
                <w:rFonts w:cs="Arial"/>
              </w:rPr>
              <w:t>5</w:t>
            </w:r>
          </w:p>
        </w:tc>
      </w:tr>
      <w:tr w:rsidR="00DF2FFE" w:rsidRPr="00680A11" w:rsidTr="006F0A74">
        <w:trPr>
          <w:trHeight w:val="834"/>
        </w:trPr>
        <w:tc>
          <w:tcPr>
            <w:tcW w:w="2970" w:type="dxa"/>
            <w:vMerge/>
            <w:tcBorders>
              <w:left w:val="single" w:sz="4" w:space="0" w:color="auto"/>
              <w:right w:val="single" w:sz="4" w:space="0" w:color="auto"/>
            </w:tcBorders>
            <w:shd w:val="clear" w:color="auto" w:fill="FFFFFF" w:themeFill="background1"/>
          </w:tcPr>
          <w:p w:rsidR="00DF2FFE" w:rsidRPr="00F20A5C" w:rsidRDefault="00DF2FFE" w:rsidP="00B45DB9">
            <w:pPr>
              <w:rPr>
                <w:sz w:val="21"/>
                <w:szCs w:val="21"/>
              </w:rPr>
            </w:pPr>
          </w:p>
        </w:tc>
        <w:tc>
          <w:tcPr>
            <w:tcW w:w="3862" w:type="dxa"/>
            <w:tcBorders>
              <w:top w:val="single" w:sz="4" w:space="0" w:color="auto"/>
              <w:left w:val="single" w:sz="4" w:space="0" w:color="auto"/>
              <w:bottom w:val="single" w:sz="4" w:space="0" w:color="auto"/>
              <w:right w:val="single" w:sz="4" w:space="0" w:color="auto"/>
            </w:tcBorders>
          </w:tcPr>
          <w:p w:rsidR="00DF2FFE" w:rsidRPr="008733D6" w:rsidRDefault="004E2ED7" w:rsidP="00B45DB9">
            <w:r>
              <w:t>Implement Discharge to Assess M</w:t>
            </w:r>
            <w:r w:rsidR="00DF2FFE" w:rsidRPr="008733D6">
              <w:t>odel across the South Lanarkshire Partnership</w:t>
            </w:r>
          </w:p>
        </w:tc>
        <w:tc>
          <w:tcPr>
            <w:tcW w:w="3220" w:type="dxa"/>
            <w:tcBorders>
              <w:top w:val="single" w:sz="4" w:space="0" w:color="auto"/>
              <w:left w:val="single" w:sz="4" w:space="0" w:color="auto"/>
              <w:bottom w:val="single" w:sz="4" w:space="0" w:color="auto"/>
              <w:right w:val="single" w:sz="4" w:space="0" w:color="auto"/>
            </w:tcBorders>
          </w:tcPr>
          <w:p w:rsidR="00DF2FFE" w:rsidRPr="0040014F" w:rsidRDefault="00DF2FFE" w:rsidP="00B45DB9">
            <w:pPr>
              <w:jc w:val="center"/>
            </w:pPr>
            <w:r w:rsidRPr="0040014F">
              <w:t>2017/18</w:t>
            </w:r>
          </w:p>
        </w:tc>
        <w:tc>
          <w:tcPr>
            <w:tcW w:w="2393" w:type="dxa"/>
            <w:tcBorders>
              <w:top w:val="single" w:sz="4" w:space="0" w:color="auto"/>
              <w:left w:val="single" w:sz="4" w:space="0" w:color="auto"/>
              <w:bottom w:val="single" w:sz="4" w:space="0" w:color="auto"/>
              <w:right w:val="single" w:sz="4" w:space="0" w:color="auto"/>
            </w:tcBorders>
          </w:tcPr>
          <w:p w:rsidR="00DF2FFE" w:rsidRPr="0040014F" w:rsidRDefault="00DF2FFE" w:rsidP="00B45DB9">
            <w:pPr>
              <w:jc w:val="center"/>
            </w:pPr>
            <w:r w:rsidRPr="0040014F">
              <w:t>Heads of Health and Social Care</w:t>
            </w:r>
          </w:p>
        </w:tc>
        <w:tc>
          <w:tcPr>
            <w:tcW w:w="1729" w:type="dxa"/>
            <w:tcBorders>
              <w:top w:val="single" w:sz="4" w:space="0" w:color="auto"/>
              <w:left w:val="single" w:sz="4" w:space="0" w:color="auto"/>
              <w:bottom w:val="single" w:sz="4" w:space="0" w:color="auto"/>
              <w:right w:val="single" w:sz="4" w:space="0" w:color="auto"/>
            </w:tcBorders>
          </w:tcPr>
          <w:p w:rsidR="00DF2FFE" w:rsidRPr="0040382F" w:rsidRDefault="00DF2FFE" w:rsidP="00B45DB9">
            <w:pPr>
              <w:tabs>
                <w:tab w:val="num" w:pos="1671"/>
              </w:tabs>
              <w:jc w:val="center"/>
              <w:rPr>
                <w:rFonts w:cs="Arial"/>
              </w:rPr>
            </w:pPr>
            <w:r w:rsidRPr="0040382F">
              <w:rPr>
                <w:rFonts w:cs="Arial"/>
              </w:rPr>
              <w:t>5</w:t>
            </w:r>
          </w:p>
        </w:tc>
      </w:tr>
      <w:tr w:rsidR="00DF2FFE" w:rsidRPr="00680A11" w:rsidTr="00D35FB3">
        <w:trPr>
          <w:trHeight w:val="990"/>
        </w:trPr>
        <w:tc>
          <w:tcPr>
            <w:tcW w:w="2970" w:type="dxa"/>
            <w:vMerge/>
            <w:tcBorders>
              <w:left w:val="single" w:sz="4" w:space="0" w:color="auto"/>
              <w:right w:val="single" w:sz="4" w:space="0" w:color="auto"/>
            </w:tcBorders>
            <w:shd w:val="clear" w:color="auto" w:fill="FFFFFF" w:themeFill="background1"/>
          </w:tcPr>
          <w:p w:rsidR="00DF2FFE" w:rsidRPr="00F20A5C" w:rsidRDefault="00DF2FFE" w:rsidP="00B45DB9">
            <w:pPr>
              <w:rPr>
                <w:sz w:val="21"/>
                <w:szCs w:val="21"/>
              </w:rPr>
            </w:pPr>
          </w:p>
        </w:tc>
        <w:tc>
          <w:tcPr>
            <w:tcW w:w="3862" w:type="dxa"/>
            <w:tcBorders>
              <w:top w:val="single" w:sz="4" w:space="0" w:color="auto"/>
              <w:left w:val="single" w:sz="4" w:space="0" w:color="auto"/>
              <w:bottom w:val="single" w:sz="4" w:space="0" w:color="auto"/>
              <w:right w:val="single" w:sz="4" w:space="0" w:color="auto"/>
            </w:tcBorders>
          </w:tcPr>
          <w:p w:rsidR="00DF2FFE" w:rsidRPr="008733D6" w:rsidRDefault="00DF2FFE" w:rsidP="00B45DB9">
            <w:r w:rsidRPr="008733D6">
              <w:t>Build Anticipatory Care Planning into the Core Assessment process to strengthen outcomes based planning</w:t>
            </w:r>
          </w:p>
        </w:tc>
        <w:tc>
          <w:tcPr>
            <w:tcW w:w="3220" w:type="dxa"/>
            <w:tcBorders>
              <w:top w:val="single" w:sz="4" w:space="0" w:color="auto"/>
              <w:left w:val="single" w:sz="4" w:space="0" w:color="auto"/>
              <w:bottom w:val="single" w:sz="4" w:space="0" w:color="auto"/>
              <w:right w:val="single" w:sz="4" w:space="0" w:color="auto"/>
            </w:tcBorders>
          </w:tcPr>
          <w:p w:rsidR="00DF2FFE" w:rsidRPr="0040014F" w:rsidRDefault="00DF2FFE" w:rsidP="00B45DB9">
            <w:pPr>
              <w:jc w:val="center"/>
            </w:pPr>
            <w:r w:rsidRPr="0040014F">
              <w:t>2017/18</w:t>
            </w:r>
          </w:p>
        </w:tc>
        <w:tc>
          <w:tcPr>
            <w:tcW w:w="2393" w:type="dxa"/>
            <w:tcBorders>
              <w:top w:val="single" w:sz="4" w:space="0" w:color="auto"/>
              <w:left w:val="single" w:sz="4" w:space="0" w:color="auto"/>
              <w:bottom w:val="single" w:sz="4" w:space="0" w:color="auto"/>
              <w:right w:val="single" w:sz="4" w:space="0" w:color="auto"/>
            </w:tcBorders>
          </w:tcPr>
          <w:p w:rsidR="00DF2FFE" w:rsidRPr="0040014F" w:rsidRDefault="00DF2FFE" w:rsidP="00B45DB9">
            <w:pPr>
              <w:jc w:val="center"/>
            </w:pPr>
            <w:r w:rsidRPr="0040014F">
              <w:t>Heads of Health and Social Care</w:t>
            </w:r>
          </w:p>
        </w:tc>
        <w:tc>
          <w:tcPr>
            <w:tcW w:w="1729" w:type="dxa"/>
            <w:tcBorders>
              <w:top w:val="single" w:sz="4" w:space="0" w:color="auto"/>
              <w:left w:val="single" w:sz="4" w:space="0" w:color="auto"/>
              <w:bottom w:val="single" w:sz="4" w:space="0" w:color="auto"/>
              <w:right w:val="single" w:sz="4" w:space="0" w:color="auto"/>
            </w:tcBorders>
          </w:tcPr>
          <w:p w:rsidR="00DF2FFE" w:rsidRPr="0040382F" w:rsidRDefault="00DF2FFE" w:rsidP="00B45DB9">
            <w:pPr>
              <w:tabs>
                <w:tab w:val="num" w:pos="1671"/>
              </w:tabs>
              <w:jc w:val="center"/>
              <w:rPr>
                <w:rFonts w:cs="Arial"/>
              </w:rPr>
            </w:pPr>
            <w:r w:rsidRPr="0040382F">
              <w:rPr>
                <w:rFonts w:cs="Arial"/>
              </w:rPr>
              <w:t>5</w:t>
            </w:r>
          </w:p>
        </w:tc>
      </w:tr>
      <w:tr w:rsidR="00DF2FFE" w:rsidRPr="00680A11" w:rsidTr="006F0A74">
        <w:trPr>
          <w:trHeight w:val="686"/>
        </w:trPr>
        <w:tc>
          <w:tcPr>
            <w:tcW w:w="2970" w:type="dxa"/>
            <w:vMerge/>
            <w:tcBorders>
              <w:left w:val="single" w:sz="4" w:space="0" w:color="auto"/>
              <w:right w:val="single" w:sz="4" w:space="0" w:color="auto"/>
            </w:tcBorders>
            <w:shd w:val="clear" w:color="auto" w:fill="FFFFFF" w:themeFill="background1"/>
          </w:tcPr>
          <w:p w:rsidR="00DF2FFE" w:rsidRPr="00F20A5C" w:rsidRDefault="00DF2FFE" w:rsidP="00B45DB9">
            <w:pPr>
              <w:rPr>
                <w:sz w:val="21"/>
                <w:szCs w:val="21"/>
              </w:rPr>
            </w:pPr>
          </w:p>
        </w:tc>
        <w:tc>
          <w:tcPr>
            <w:tcW w:w="3862" w:type="dxa"/>
            <w:tcBorders>
              <w:top w:val="single" w:sz="4" w:space="0" w:color="auto"/>
              <w:left w:val="single" w:sz="4" w:space="0" w:color="auto"/>
              <w:bottom w:val="single" w:sz="4" w:space="0" w:color="auto"/>
              <w:right w:val="single" w:sz="4" w:space="0" w:color="auto"/>
            </w:tcBorders>
          </w:tcPr>
          <w:p w:rsidR="00DF2FFE" w:rsidRPr="008733D6" w:rsidRDefault="00DF2FFE" w:rsidP="00B45DB9">
            <w:r w:rsidRPr="008733D6">
              <w:t>Introduce Estimate</w:t>
            </w:r>
            <w:r w:rsidR="00963CDA">
              <w:t>d Date of Discharge across all w</w:t>
            </w:r>
            <w:r w:rsidRPr="008733D6">
              <w:t>ard areas</w:t>
            </w:r>
          </w:p>
        </w:tc>
        <w:tc>
          <w:tcPr>
            <w:tcW w:w="3220" w:type="dxa"/>
            <w:tcBorders>
              <w:top w:val="single" w:sz="4" w:space="0" w:color="auto"/>
              <w:left w:val="single" w:sz="4" w:space="0" w:color="auto"/>
              <w:bottom w:val="single" w:sz="4" w:space="0" w:color="auto"/>
              <w:right w:val="single" w:sz="4" w:space="0" w:color="auto"/>
            </w:tcBorders>
          </w:tcPr>
          <w:p w:rsidR="00DF2FFE" w:rsidRPr="0040014F" w:rsidRDefault="00DF2FFE" w:rsidP="00B45DB9">
            <w:pPr>
              <w:jc w:val="center"/>
            </w:pPr>
            <w:r w:rsidRPr="0040014F">
              <w:t>2017/18</w:t>
            </w:r>
          </w:p>
        </w:tc>
        <w:tc>
          <w:tcPr>
            <w:tcW w:w="2393" w:type="dxa"/>
            <w:tcBorders>
              <w:top w:val="single" w:sz="4" w:space="0" w:color="auto"/>
              <w:left w:val="single" w:sz="4" w:space="0" w:color="auto"/>
              <w:bottom w:val="single" w:sz="4" w:space="0" w:color="auto"/>
              <w:right w:val="single" w:sz="4" w:space="0" w:color="auto"/>
            </w:tcBorders>
          </w:tcPr>
          <w:p w:rsidR="00DF2FFE" w:rsidRPr="0040014F" w:rsidRDefault="00DF2FFE" w:rsidP="00B45DB9">
            <w:pPr>
              <w:jc w:val="center"/>
            </w:pPr>
            <w:r w:rsidRPr="0040014F">
              <w:t>Director of Acute Services</w:t>
            </w:r>
          </w:p>
        </w:tc>
        <w:tc>
          <w:tcPr>
            <w:tcW w:w="1729" w:type="dxa"/>
            <w:tcBorders>
              <w:top w:val="single" w:sz="4" w:space="0" w:color="auto"/>
              <w:left w:val="single" w:sz="4" w:space="0" w:color="auto"/>
              <w:bottom w:val="single" w:sz="4" w:space="0" w:color="auto"/>
              <w:right w:val="single" w:sz="4" w:space="0" w:color="auto"/>
            </w:tcBorders>
          </w:tcPr>
          <w:p w:rsidR="00DF2FFE" w:rsidRPr="0040382F" w:rsidRDefault="00DF2FFE" w:rsidP="00B45DB9">
            <w:pPr>
              <w:tabs>
                <w:tab w:val="num" w:pos="1671"/>
              </w:tabs>
              <w:jc w:val="center"/>
              <w:rPr>
                <w:rFonts w:cs="Arial"/>
              </w:rPr>
            </w:pPr>
            <w:r w:rsidRPr="0040382F">
              <w:rPr>
                <w:rFonts w:cs="Arial"/>
              </w:rPr>
              <w:t>5</w:t>
            </w:r>
          </w:p>
        </w:tc>
      </w:tr>
      <w:tr w:rsidR="00DF2FFE" w:rsidRPr="00680A11" w:rsidTr="00D35FB3">
        <w:trPr>
          <w:trHeight w:val="990"/>
        </w:trPr>
        <w:tc>
          <w:tcPr>
            <w:tcW w:w="2970" w:type="dxa"/>
            <w:vMerge/>
            <w:tcBorders>
              <w:left w:val="single" w:sz="4" w:space="0" w:color="auto"/>
              <w:right w:val="single" w:sz="4" w:space="0" w:color="auto"/>
            </w:tcBorders>
            <w:shd w:val="clear" w:color="auto" w:fill="FFFFFF" w:themeFill="background1"/>
          </w:tcPr>
          <w:p w:rsidR="00DF2FFE" w:rsidRPr="00F20A5C" w:rsidRDefault="00DF2FFE" w:rsidP="00B45DB9">
            <w:pPr>
              <w:rPr>
                <w:sz w:val="21"/>
                <w:szCs w:val="21"/>
              </w:rPr>
            </w:pPr>
          </w:p>
        </w:tc>
        <w:tc>
          <w:tcPr>
            <w:tcW w:w="3862" w:type="dxa"/>
            <w:tcBorders>
              <w:top w:val="single" w:sz="4" w:space="0" w:color="auto"/>
              <w:left w:val="single" w:sz="4" w:space="0" w:color="auto"/>
              <w:bottom w:val="single" w:sz="4" w:space="0" w:color="auto"/>
              <w:right w:val="single" w:sz="4" w:space="0" w:color="auto"/>
            </w:tcBorders>
          </w:tcPr>
          <w:p w:rsidR="00DF2FFE" w:rsidRPr="008733D6" w:rsidRDefault="00DF2FFE" w:rsidP="00B45DB9">
            <w:r w:rsidRPr="008733D6">
              <w:t>Increase market capacity and options for home care provision arising from new contractual arrangements</w:t>
            </w:r>
          </w:p>
        </w:tc>
        <w:tc>
          <w:tcPr>
            <w:tcW w:w="3220" w:type="dxa"/>
            <w:tcBorders>
              <w:top w:val="single" w:sz="4" w:space="0" w:color="auto"/>
              <w:left w:val="single" w:sz="4" w:space="0" w:color="auto"/>
              <w:bottom w:val="single" w:sz="4" w:space="0" w:color="auto"/>
              <w:right w:val="single" w:sz="4" w:space="0" w:color="auto"/>
            </w:tcBorders>
          </w:tcPr>
          <w:p w:rsidR="00DF2FFE" w:rsidRPr="0040014F" w:rsidRDefault="00DF2FFE" w:rsidP="00B45DB9">
            <w:pPr>
              <w:jc w:val="center"/>
            </w:pPr>
            <w:r w:rsidRPr="0040014F">
              <w:t>2017/18</w:t>
            </w:r>
          </w:p>
        </w:tc>
        <w:tc>
          <w:tcPr>
            <w:tcW w:w="2393" w:type="dxa"/>
            <w:tcBorders>
              <w:top w:val="single" w:sz="4" w:space="0" w:color="auto"/>
              <w:left w:val="single" w:sz="4" w:space="0" w:color="auto"/>
              <w:bottom w:val="single" w:sz="4" w:space="0" w:color="auto"/>
              <w:right w:val="single" w:sz="4" w:space="0" w:color="auto"/>
            </w:tcBorders>
          </w:tcPr>
          <w:p w:rsidR="00DF2FFE" w:rsidRPr="0040014F" w:rsidRDefault="00DF2FFE" w:rsidP="00B45DB9">
            <w:pPr>
              <w:jc w:val="center"/>
            </w:pPr>
            <w:r w:rsidRPr="0040014F">
              <w:t>H</w:t>
            </w:r>
            <w:r w:rsidR="00963CDA" w:rsidRPr="0040014F">
              <w:t>eads of Health and Social Care and</w:t>
            </w:r>
          </w:p>
          <w:p w:rsidR="00DF2FFE" w:rsidRPr="0040014F" w:rsidRDefault="00DF2FFE" w:rsidP="00B45DB9">
            <w:pPr>
              <w:jc w:val="center"/>
            </w:pPr>
            <w:r w:rsidRPr="0040014F">
              <w:t>Head of Commissioning and Performance</w:t>
            </w:r>
          </w:p>
        </w:tc>
        <w:tc>
          <w:tcPr>
            <w:tcW w:w="1729" w:type="dxa"/>
            <w:tcBorders>
              <w:top w:val="single" w:sz="4" w:space="0" w:color="auto"/>
              <w:left w:val="single" w:sz="4" w:space="0" w:color="auto"/>
              <w:bottom w:val="single" w:sz="4" w:space="0" w:color="auto"/>
              <w:right w:val="single" w:sz="4" w:space="0" w:color="auto"/>
            </w:tcBorders>
          </w:tcPr>
          <w:p w:rsidR="00DF2FFE" w:rsidRPr="0040382F" w:rsidRDefault="00DF2FFE" w:rsidP="00B45DB9">
            <w:pPr>
              <w:tabs>
                <w:tab w:val="num" w:pos="1671"/>
              </w:tabs>
              <w:jc w:val="center"/>
              <w:rPr>
                <w:rFonts w:cs="Arial"/>
              </w:rPr>
            </w:pPr>
            <w:r w:rsidRPr="0040382F">
              <w:rPr>
                <w:rFonts w:cs="Arial"/>
              </w:rPr>
              <w:t>5</w:t>
            </w:r>
          </w:p>
        </w:tc>
      </w:tr>
      <w:tr w:rsidR="00DF2FFE" w:rsidRPr="00680A11" w:rsidTr="00D35FB3">
        <w:trPr>
          <w:trHeight w:val="990"/>
        </w:trPr>
        <w:tc>
          <w:tcPr>
            <w:tcW w:w="2970" w:type="dxa"/>
            <w:vMerge/>
            <w:tcBorders>
              <w:left w:val="single" w:sz="4" w:space="0" w:color="auto"/>
              <w:bottom w:val="single" w:sz="4" w:space="0" w:color="auto"/>
              <w:right w:val="single" w:sz="4" w:space="0" w:color="auto"/>
            </w:tcBorders>
            <w:shd w:val="clear" w:color="auto" w:fill="FFFFFF" w:themeFill="background1"/>
          </w:tcPr>
          <w:p w:rsidR="00DF2FFE" w:rsidRPr="00F20A5C" w:rsidRDefault="00DF2FFE" w:rsidP="00B45DB9">
            <w:pPr>
              <w:rPr>
                <w:sz w:val="21"/>
                <w:szCs w:val="21"/>
              </w:rPr>
            </w:pPr>
          </w:p>
        </w:tc>
        <w:tc>
          <w:tcPr>
            <w:tcW w:w="3862" w:type="dxa"/>
            <w:tcBorders>
              <w:top w:val="single" w:sz="4" w:space="0" w:color="auto"/>
              <w:left w:val="single" w:sz="4" w:space="0" w:color="auto"/>
              <w:bottom w:val="single" w:sz="4" w:space="0" w:color="auto"/>
              <w:right w:val="single" w:sz="4" w:space="0" w:color="auto"/>
            </w:tcBorders>
          </w:tcPr>
          <w:p w:rsidR="00DF2FFE" w:rsidRPr="008733D6" w:rsidRDefault="00DF2FFE" w:rsidP="00B45DB9">
            <w:r w:rsidRPr="008733D6">
              <w:t>Undertake evaluation of the 22 Local Authority Intermediate Care Beds and agree next steps following this evaluation</w:t>
            </w:r>
          </w:p>
        </w:tc>
        <w:tc>
          <w:tcPr>
            <w:tcW w:w="3220" w:type="dxa"/>
            <w:tcBorders>
              <w:top w:val="single" w:sz="4" w:space="0" w:color="auto"/>
              <w:left w:val="single" w:sz="4" w:space="0" w:color="auto"/>
              <w:bottom w:val="single" w:sz="4" w:space="0" w:color="auto"/>
              <w:right w:val="single" w:sz="4" w:space="0" w:color="auto"/>
            </w:tcBorders>
          </w:tcPr>
          <w:p w:rsidR="00DF2FFE" w:rsidRPr="0040014F" w:rsidRDefault="00DF2FFE" w:rsidP="00B45DB9">
            <w:pPr>
              <w:jc w:val="center"/>
              <w:rPr>
                <w:rFonts w:cs="Arial"/>
              </w:rPr>
            </w:pPr>
            <w:r w:rsidRPr="0040014F">
              <w:t>2017/18</w:t>
            </w:r>
          </w:p>
        </w:tc>
        <w:tc>
          <w:tcPr>
            <w:tcW w:w="2393" w:type="dxa"/>
            <w:tcBorders>
              <w:top w:val="single" w:sz="4" w:space="0" w:color="auto"/>
              <w:left w:val="single" w:sz="4" w:space="0" w:color="auto"/>
              <w:bottom w:val="single" w:sz="4" w:space="0" w:color="auto"/>
              <w:right w:val="single" w:sz="4" w:space="0" w:color="auto"/>
            </w:tcBorders>
          </w:tcPr>
          <w:p w:rsidR="00DF2FFE" w:rsidRPr="0040014F" w:rsidRDefault="00DF2FFE" w:rsidP="00B45DB9">
            <w:pPr>
              <w:jc w:val="center"/>
            </w:pPr>
            <w:r w:rsidRPr="0040014F">
              <w:t>Head of Commissioning and Performance</w:t>
            </w:r>
          </w:p>
        </w:tc>
        <w:tc>
          <w:tcPr>
            <w:tcW w:w="1729" w:type="dxa"/>
            <w:tcBorders>
              <w:top w:val="single" w:sz="4" w:space="0" w:color="auto"/>
              <w:left w:val="single" w:sz="4" w:space="0" w:color="auto"/>
              <w:bottom w:val="single" w:sz="4" w:space="0" w:color="auto"/>
              <w:right w:val="single" w:sz="4" w:space="0" w:color="auto"/>
            </w:tcBorders>
          </w:tcPr>
          <w:p w:rsidR="00DF2FFE" w:rsidRPr="0040382F" w:rsidRDefault="00DF2FFE" w:rsidP="00B45DB9">
            <w:pPr>
              <w:tabs>
                <w:tab w:val="num" w:pos="1671"/>
              </w:tabs>
              <w:jc w:val="center"/>
              <w:rPr>
                <w:rFonts w:cs="Arial"/>
              </w:rPr>
            </w:pPr>
            <w:r w:rsidRPr="0040382F">
              <w:rPr>
                <w:rFonts w:cs="Arial"/>
              </w:rPr>
              <w:t>5</w:t>
            </w:r>
          </w:p>
        </w:tc>
      </w:tr>
      <w:tr w:rsidR="00DF2FFE" w:rsidRPr="00680A11" w:rsidTr="00D35FB3">
        <w:trPr>
          <w:trHeight w:val="990"/>
        </w:trPr>
        <w:tc>
          <w:tcPr>
            <w:tcW w:w="2970" w:type="dxa"/>
            <w:vMerge w:val="restart"/>
            <w:tcBorders>
              <w:top w:val="single" w:sz="4" w:space="0" w:color="auto"/>
              <w:left w:val="single" w:sz="4" w:space="0" w:color="auto"/>
              <w:right w:val="single" w:sz="4" w:space="0" w:color="auto"/>
            </w:tcBorders>
            <w:shd w:val="clear" w:color="auto" w:fill="FFFFFF" w:themeFill="background1"/>
          </w:tcPr>
          <w:p w:rsidR="00DF2FFE" w:rsidRPr="00C04C28" w:rsidRDefault="00DF2FFE" w:rsidP="00C04C28">
            <w:pPr>
              <w:pStyle w:val="ListBullet"/>
              <w:numPr>
                <w:ilvl w:val="0"/>
                <w:numId w:val="0"/>
              </w:numPr>
              <w:tabs>
                <w:tab w:val="left" w:pos="720"/>
              </w:tabs>
              <w:rPr>
                <w:rFonts w:ascii="Arial" w:hAnsi="Arial" w:cs="Arial"/>
                <w:sz w:val="22"/>
                <w:szCs w:val="22"/>
              </w:rPr>
            </w:pPr>
            <w:r w:rsidRPr="00C04C28">
              <w:rPr>
                <w:rFonts w:ascii="Arial" w:hAnsi="Arial" w:cs="Arial"/>
                <w:sz w:val="22"/>
                <w:szCs w:val="22"/>
              </w:rPr>
              <w:t>Avoiding unnecessary hospital admissions</w:t>
            </w:r>
          </w:p>
        </w:tc>
        <w:tc>
          <w:tcPr>
            <w:tcW w:w="3862" w:type="dxa"/>
            <w:tcBorders>
              <w:top w:val="single" w:sz="4" w:space="0" w:color="auto"/>
              <w:left w:val="single" w:sz="4" w:space="0" w:color="auto"/>
              <w:bottom w:val="single" w:sz="4" w:space="0" w:color="auto"/>
              <w:right w:val="single" w:sz="4" w:space="0" w:color="auto"/>
            </w:tcBorders>
          </w:tcPr>
          <w:p w:rsidR="00DF2FFE" w:rsidRPr="008733D6" w:rsidRDefault="00DF2FFE" w:rsidP="00B45DB9">
            <w:r w:rsidRPr="008733D6">
              <w:t>As part of reviewing existing pathways and models of care, consider the development of increased locality based provision of previously hospital based services - including extended Hospital at Home/I</w:t>
            </w:r>
            <w:r w:rsidR="00B93AEC" w:rsidRPr="008733D6">
              <w:t xml:space="preserve">ntegrated </w:t>
            </w:r>
            <w:r w:rsidRPr="008733D6">
              <w:t>C</w:t>
            </w:r>
            <w:r w:rsidR="00B93AEC" w:rsidRPr="008733D6">
              <w:t xml:space="preserve">ommunity </w:t>
            </w:r>
            <w:r w:rsidRPr="008733D6">
              <w:t>S</w:t>
            </w:r>
            <w:r w:rsidR="00B93AEC" w:rsidRPr="008733D6">
              <w:t xml:space="preserve">upport </w:t>
            </w:r>
            <w:r w:rsidRPr="008733D6">
              <w:t>T</w:t>
            </w:r>
            <w:r w:rsidR="00B93AEC" w:rsidRPr="008733D6">
              <w:t>eam (ICST)</w:t>
            </w:r>
            <w:r w:rsidRPr="008733D6">
              <w:t>/A</w:t>
            </w:r>
            <w:r w:rsidR="00B93AEC" w:rsidRPr="008733D6">
              <w:t xml:space="preserve">dvanced </w:t>
            </w:r>
            <w:r w:rsidRPr="008733D6">
              <w:t>N</w:t>
            </w:r>
            <w:r w:rsidR="00B93AEC" w:rsidRPr="008733D6">
              <w:t>urse Practitioners (ANPs</w:t>
            </w:r>
            <w:r w:rsidR="00CD779E">
              <w:t>)</w:t>
            </w:r>
          </w:p>
        </w:tc>
        <w:tc>
          <w:tcPr>
            <w:tcW w:w="3220" w:type="dxa"/>
            <w:tcBorders>
              <w:top w:val="single" w:sz="4" w:space="0" w:color="auto"/>
              <w:left w:val="single" w:sz="4" w:space="0" w:color="auto"/>
              <w:bottom w:val="single" w:sz="4" w:space="0" w:color="auto"/>
              <w:right w:val="single" w:sz="4" w:space="0" w:color="auto"/>
            </w:tcBorders>
          </w:tcPr>
          <w:p w:rsidR="00DF2FFE" w:rsidRPr="0040014F" w:rsidRDefault="00DF2FFE" w:rsidP="00B45DB9">
            <w:pPr>
              <w:jc w:val="center"/>
            </w:pPr>
            <w:r w:rsidRPr="0040014F">
              <w:t>2017/18</w:t>
            </w:r>
          </w:p>
        </w:tc>
        <w:tc>
          <w:tcPr>
            <w:tcW w:w="2393" w:type="dxa"/>
            <w:tcBorders>
              <w:top w:val="single" w:sz="4" w:space="0" w:color="auto"/>
              <w:left w:val="single" w:sz="4" w:space="0" w:color="auto"/>
              <w:bottom w:val="single" w:sz="4" w:space="0" w:color="auto"/>
              <w:right w:val="single" w:sz="4" w:space="0" w:color="auto"/>
            </w:tcBorders>
          </w:tcPr>
          <w:p w:rsidR="00DF2FFE" w:rsidRPr="0040014F" w:rsidRDefault="00DF2FFE" w:rsidP="00B45DB9">
            <w:pPr>
              <w:jc w:val="center"/>
            </w:pPr>
            <w:r w:rsidRPr="0040014F">
              <w:t>Heads of Health and Social Care</w:t>
            </w:r>
          </w:p>
          <w:p w:rsidR="00DF2FFE" w:rsidRPr="0040014F" w:rsidRDefault="0040014F" w:rsidP="00B45DB9">
            <w:pPr>
              <w:jc w:val="center"/>
            </w:pPr>
            <w:r w:rsidRPr="0040014F">
              <w:t>and</w:t>
            </w:r>
            <w:r w:rsidR="00DF2FFE" w:rsidRPr="0040014F">
              <w:t xml:space="preserve"> Director of Acute Services</w:t>
            </w:r>
          </w:p>
        </w:tc>
        <w:tc>
          <w:tcPr>
            <w:tcW w:w="1729" w:type="dxa"/>
            <w:tcBorders>
              <w:top w:val="single" w:sz="4" w:space="0" w:color="auto"/>
              <w:left w:val="single" w:sz="4" w:space="0" w:color="auto"/>
              <w:bottom w:val="single" w:sz="4" w:space="0" w:color="auto"/>
              <w:right w:val="single" w:sz="4" w:space="0" w:color="auto"/>
            </w:tcBorders>
          </w:tcPr>
          <w:p w:rsidR="00DF2FFE" w:rsidRPr="0040382F" w:rsidRDefault="00DF2FFE" w:rsidP="00B45DB9">
            <w:pPr>
              <w:tabs>
                <w:tab w:val="num" w:pos="1671"/>
              </w:tabs>
              <w:jc w:val="center"/>
              <w:rPr>
                <w:rFonts w:cs="Arial"/>
              </w:rPr>
            </w:pPr>
            <w:r w:rsidRPr="0040382F">
              <w:rPr>
                <w:rFonts w:cs="Arial"/>
              </w:rPr>
              <w:t>5</w:t>
            </w:r>
          </w:p>
        </w:tc>
      </w:tr>
      <w:tr w:rsidR="00DF2FFE" w:rsidRPr="00680A11" w:rsidTr="00D35FB3">
        <w:trPr>
          <w:trHeight w:val="990"/>
        </w:trPr>
        <w:tc>
          <w:tcPr>
            <w:tcW w:w="2970" w:type="dxa"/>
            <w:vMerge/>
            <w:tcBorders>
              <w:left w:val="single" w:sz="4" w:space="0" w:color="auto"/>
              <w:bottom w:val="single" w:sz="4" w:space="0" w:color="auto"/>
              <w:right w:val="single" w:sz="4" w:space="0" w:color="auto"/>
            </w:tcBorders>
            <w:shd w:val="clear" w:color="auto" w:fill="FFFFFF" w:themeFill="background1"/>
          </w:tcPr>
          <w:p w:rsidR="00DF2FFE" w:rsidRPr="00C04C28" w:rsidRDefault="00DF2FFE" w:rsidP="00C04C28">
            <w:pPr>
              <w:pStyle w:val="ListBullet"/>
              <w:numPr>
                <w:ilvl w:val="0"/>
                <w:numId w:val="0"/>
              </w:numPr>
              <w:tabs>
                <w:tab w:val="left" w:pos="720"/>
              </w:tabs>
              <w:rPr>
                <w:rFonts w:ascii="Arial" w:hAnsi="Arial" w:cs="Arial"/>
                <w:sz w:val="22"/>
                <w:szCs w:val="22"/>
              </w:rPr>
            </w:pPr>
          </w:p>
        </w:tc>
        <w:tc>
          <w:tcPr>
            <w:tcW w:w="3862" w:type="dxa"/>
            <w:tcBorders>
              <w:top w:val="single" w:sz="4" w:space="0" w:color="auto"/>
              <w:left w:val="single" w:sz="4" w:space="0" w:color="auto"/>
              <w:bottom w:val="single" w:sz="4" w:space="0" w:color="auto"/>
              <w:right w:val="single" w:sz="4" w:space="0" w:color="auto"/>
            </w:tcBorders>
          </w:tcPr>
          <w:p w:rsidR="00DF2FFE" w:rsidRPr="008733D6" w:rsidRDefault="00DF2FFE" w:rsidP="00B45DB9">
            <w:r w:rsidRPr="008733D6">
              <w:t>Undertake targeted work to better understand how we manage potentially preventable admissions (PPAs)</w:t>
            </w:r>
          </w:p>
        </w:tc>
        <w:tc>
          <w:tcPr>
            <w:tcW w:w="3220" w:type="dxa"/>
            <w:tcBorders>
              <w:top w:val="single" w:sz="4" w:space="0" w:color="auto"/>
              <w:left w:val="single" w:sz="4" w:space="0" w:color="auto"/>
              <w:bottom w:val="single" w:sz="4" w:space="0" w:color="auto"/>
              <w:right w:val="single" w:sz="4" w:space="0" w:color="auto"/>
            </w:tcBorders>
          </w:tcPr>
          <w:p w:rsidR="00DF2FFE" w:rsidRPr="0040014F" w:rsidRDefault="00DF2FFE" w:rsidP="00B45DB9">
            <w:pPr>
              <w:jc w:val="center"/>
            </w:pPr>
            <w:r w:rsidRPr="0040014F">
              <w:t>2017/18</w:t>
            </w:r>
          </w:p>
        </w:tc>
        <w:tc>
          <w:tcPr>
            <w:tcW w:w="2393" w:type="dxa"/>
            <w:tcBorders>
              <w:top w:val="single" w:sz="4" w:space="0" w:color="auto"/>
              <w:left w:val="single" w:sz="4" w:space="0" w:color="auto"/>
              <w:bottom w:val="single" w:sz="4" w:space="0" w:color="auto"/>
              <w:right w:val="single" w:sz="4" w:space="0" w:color="auto"/>
            </w:tcBorders>
          </w:tcPr>
          <w:p w:rsidR="00DF2FFE" w:rsidRPr="0040014F" w:rsidRDefault="00DF2FFE" w:rsidP="00B45DB9">
            <w:pPr>
              <w:jc w:val="center"/>
            </w:pPr>
            <w:r w:rsidRPr="0040014F">
              <w:t>Head of Commissioning and Performance</w:t>
            </w:r>
          </w:p>
        </w:tc>
        <w:tc>
          <w:tcPr>
            <w:tcW w:w="1729" w:type="dxa"/>
            <w:tcBorders>
              <w:top w:val="single" w:sz="4" w:space="0" w:color="auto"/>
              <w:left w:val="single" w:sz="4" w:space="0" w:color="auto"/>
              <w:bottom w:val="single" w:sz="4" w:space="0" w:color="auto"/>
              <w:right w:val="single" w:sz="4" w:space="0" w:color="auto"/>
            </w:tcBorders>
          </w:tcPr>
          <w:p w:rsidR="00DF2FFE" w:rsidRPr="0040382F" w:rsidRDefault="00DF2FFE" w:rsidP="00B45DB9">
            <w:pPr>
              <w:tabs>
                <w:tab w:val="num" w:pos="1671"/>
              </w:tabs>
              <w:jc w:val="center"/>
              <w:rPr>
                <w:rFonts w:cs="Arial"/>
              </w:rPr>
            </w:pPr>
            <w:r w:rsidRPr="0040382F">
              <w:rPr>
                <w:rFonts w:cs="Arial"/>
              </w:rPr>
              <w:t>5</w:t>
            </w:r>
          </w:p>
        </w:tc>
      </w:tr>
      <w:tr w:rsidR="00DF2FFE" w:rsidRPr="00680A11" w:rsidTr="00D35FB3">
        <w:trPr>
          <w:trHeight w:val="990"/>
        </w:trPr>
        <w:tc>
          <w:tcPr>
            <w:tcW w:w="2970" w:type="dxa"/>
            <w:vMerge w:val="restart"/>
            <w:tcBorders>
              <w:top w:val="single" w:sz="4" w:space="0" w:color="auto"/>
              <w:left w:val="single" w:sz="4" w:space="0" w:color="auto"/>
              <w:right w:val="single" w:sz="4" w:space="0" w:color="auto"/>
            </w:tcBorders>
            <w:shd w:val="clear" w:color="auto" w:fill="FFFFFF" w:themeFill="background1"/>
          </w:tcPr>
          <w:p w:rsidR="00DF2FFE" w:rsidRPr="00C04C28" w:rsidRDefault="00DF2FFE" w:rsidP="00C04C28">
            <w:pPr>
              <w:pStyle w:val="ListBullet"/>
              <w:numPr>
                <w:ilvl w:val="0"/>
                <w:numId w:val="0"/>
              </w:numPr>
              <w:tabs>
                <w:tab w:val="left" w:pos="720"/>
              </w:tabs>
              <w:rPr>
                <w:rFonts w:ascii="Arial" w:hAnsi="Arial" w:cs="Arial"/>
                <w:sz w:val="22"/>
                <w:szCs w:val="22"/>
              </w:rPr>
            </w:pPr>
            <w:r w:rsidRPr="00C04C28">
              <w:rPr>
                <w:rFonts w:ascii="Arial" w:hAnsi="Arial" w:cs="Arial"/>
                <w:sz w:val="22"/>
                <w:szCs w:val="22"/>
              </w:rPr>
              <w:t>More people are able to look after and improve their own health an</w:t>
            </w:r>
            <w:r w:rsidR="00B93AEC" w:rsidRPr="00C04C28">
              <w:rPr>
                <w:rFonts w:ascii="Arial" w:hAnsi="Arial" w:cs="Arial"/>
                <w:sz w:val="22"/>
                <w:szCs w:val="22"/>
              </w:rPr>
              <w:t>d wellbeing and maximis</w:t>
            </w:r>
            <w:r w:rsidRPr="00C04C28">
              <w:rPr>
                <w:rFonts w:ascii="Arial" w:hAnsi="Arial" w:cs="Arial"/>
                <w:sz w:val="22"/>
                <w:szCs w:val="22"/>
              </w:rPr>
              <w:t>e their independence</w:t>
            </w:r>
          </w:p>
        </w:tc>
        <w:tc>
          <w:tcPr>
            <w:tcW w:w="3862" w:type="dxa"/>
            <w:tcBorders>
              <w:top w:val="single" w:sz="4" w:space="0" w:color="auto"/>
              <w:left w:val="single" w:sz="4" w:space="0" w:color="auto"/>
              <w:bottom w:val="single" w:sz="4" w:space="0" w:color="auto"/>
              <w:right w:val="single" w:sz="4" w:space="0" w:color="auto"/>
            </w:tcBorders>
          </w:tcPr>
          <w:p w:rsidR="00DF2FFE" w:rsidRPr="00174912" w:rsidRDefault="009E18B0" w:rsidP="00B45DB9">
            <w:pPr>
              <w:tabs>
                <w:tab w:val="num" w:pos="1671"/>
              </w:tabs>
              <w:rPr>
                <w:rFonts w:cs="Arial"/>
              </w:rPr>
            </w:pPr>
            <w:r w:rsidRPr="00174912">
              <w:rPr>
                <w:rFonts w:cs="Arial"/>
              </w:rPr>
              <w:t xml:space="preserve">Work with VASLan to support the continued development of the locator tool to provide </w:t>
            </w:r>
            <w:r>
              <w:rPr>
                <w:rFonts w:cs="Arial"/>
              </w:rPr>
              <w:t>alternatives to traditional forms of</w:t>
            </w:r>
            <w:r w:rsidRPr="00174912">
              <w:rPr>
                <w:rFonts w:cs="Arial"/>
              </w:rPr>
              <w:t xml:space="preserve"> care and support</w:t>
            </w:r>
          </w:p>
        </w:tc>
        <w:tc>
          <w:tcPr>
            <w:tcW w:w="3220" w:type="dxa"/>
            <w:tcBorders>
              <w:top w:val="single" w:sz="4" w:space="0" w:color="auto"/>
              <w:left w:val="single" w:sz="4" w:space="0" w:color="auto"/>
              <w:bottom w:val="single" w:sz="4" w:space="0" w:color="auto"/>
              <w:right w:val="single" w:sz="4" w:space="0" w:color="auto"/>
            </w:tcBorders>
          </w:tcPr>
          <w:p w:rsidR="00DF2FFE" w:rsidRPr="0040014F" w:rsidRDefault="009E18B0" w:rsidP="00B45DB9">
            <w:pPr>
              <w:jc w:val="center"/>
            </w:pPr>
            <w:r w:rsidRPr="0040014F">
              <w:t>2017/18</w:t>
            </w:r>
          </w:p>
        </w:tc>
        <w:tc>
          <w:tcPr>
            <w:tcW w:w="2393" w:type="dxa"/>
            <w:tcBorders>
              <w:top w:val="single" w:sz="4" w:space="0" w:color="auto"/>
              <w:left w:val="single" w:sz="4" w:space="0" w:color="auto"/>
              <w:bottom w:val="single" w:sz="4" w:space="0" w:color="auto"/>
              <w:right w:val="single" w:sz="4" w:space="0" w:color="auto"/>
            </w:tcBorders>
          </w:tcPr>
          <w:p w:rsidR="00DF2FFE" w:rsidRPr="0040014F" w:rsidRDefault="009E18B0" w:rsidP="00B45DB9">
            <w:pPr>
              <w:tabs>
                <w:tab w:val="num" w:pos="1671"/>
              </w:tabs>
              <w:jc w:val="center"/>
              <w:rPr>
                <w:rFonts w:cs="Arial"/>
              </w:rPr>
            </w:pPr>
            <w:r>
              <w:rPr>
                <w:rFonts w:cs="Arial"/>
              </w:rPr>
              <w:t>Head of Commissioning and Performance and</w:t>
            </w:r>
            <w:r w:rsidRPr="0040014F">
              <w:rPr>
                <w:rFonts w:cs="Arial"/>
              </w:rPr>
              <w:t xml:space="preserve"> Chief Executive</w:t>
            </w:r>
            <w:r>
              <w:rPr>
                <w:rFonts w:cs="Arial"/>
              </w:rPr>
              <w:t>,</w:t>
            </w:r>
            <w:r w:rsidRPr="0040014F">
              <w:rPr>
                <w:rFonts w:cs="Arial"/>
              </w:rPr>
              <w:t xml:space="preserve"> VASLan</w:t>
            </w:r>
          </w:p>
        </w:tc>
        <w:tc>
          <w:tcPr>
            <w:tcW w:w="1729" w:type="dxa"/>
            <w:tcBorders>
              <w:top w:val="single" w:sz="4" w:space="0" w:color="auto"/>
              <w:left w:val="single" w:sz="4" w:space="0" w:color="auto"/>
              <w:bottom w:val="single" w:sz="4" w:space="0" w:color="auto"/>
              <w:right w:val="single" w:sz="4" w:space="0" w:color="auto"/>
            </w:tcBorders>
          </w:tcPr>
          <w:p w:rsidR="00DF2FFE" w:rsidRPr="0040382F" w:rsidRDefault="009E18B0" w:rsidP="00B45DB9">
            <w:pPr>
              <w:tabs>
                <w:tab w:val="num" w:pos="1671"/>
              </w:tabs>
              <w:jc w:val="center"/>
              <w:rPr>
                <w:rFonts w:cs="Arial"/>
              </w:rPr>
            </w:pPr>
            <w:r w:rsidRPr="0040382F">
              <w:rPr>
                <w:rFonts w:cs="Arial"/>
              </w:rPr>
              <w:t>5</w:t>
            </w:r>
          </w:p>
        </w:tc>
      </w:tr>
      <w:tr w:rsidR="009E18B0" w:rsidRPr="00680A11" w:rsidTr="00D35FB3">
        <w:trPr>
          <w:trHeight w:val="990"/>
        </w:trPr>
        <w:tc>
          <w:tcPr>
            <w:tcW w:w="2970" w:type="dxa"/>
            <w:vMerge/>
            <w:tcBorders>
              <w:left w:val="single" w:sz="4" w:space="0" w:color="auto"/>
              <w:right w:val="single" w:sz="4" w:space="0" w:color="auto"/>
            </w:tcBorders>
            <w:shd w:val="clear" w:color="auto" w:fill="FFFFFF" w:themeFill="background1"/>
          </w:tcPr>
          <w:p w:rsidR="009E18B0" w:rsidRPr="00174912" w:rsidRDefault="009E18B0" w:rsidP="00B45DB9">
            <w:pPr>
              <w:pStyle w:val="ListBullet"/>
              <w:numPr>
                <w:ilvl w:val="0"/>
                <w:numId w:val="0"/>
              </w:numPr>
              <w:tabs>
                <w:tab w:val="left" w:pos="720"/>
              </w:tabs>
              <w:spacing w:line="276" w:lineRule="auto"/>
              <w:rPr>
                <w:rFonts w:ascii="Arial" w:hAnsi="Arial" w:cs="Arial"/>
                <w:sz w:val="22"/>
                <w:szCs w:val="22"/>
              </w:rPr>
            </w:pPr>
          </w:p>
        </w:tc>
        <w:tc>
          <w:tcPr>
            <w:tcW w:w="3862" w:type="dxa"/>
            <w:tcBorders>
              <w:top w:val="single" w:sz="4" w:space="0" w:color="auto"/>
              <w:left w:val="single" w:sz="4" w:space="0" w:color="auto"/>
              <w:bottom w:val="single" w:sz="4" w:space="0" w:color="auto"/>
              <w:right w:val="single" w:sz="4" w:space="0" w:color="auto"/>
            </w:tcBorders>
          </w:tcPr>
          <w:p w:rsidR="009E18B0" w:rsidRPr="00174912" w:rsidRDefault="009E18B0" w:rsidP="006D68C3">
            <w:pPr>
              <w:tabs>
                <w:tab w:val="num" w:pos="1671"/>
              </w:tabs>
              <w:rPr>
                <w:rFonts w:cs="Arial"/>
              </w:rPr>
            </w:pPr>
            <w:r>
              <w:rPr>
                <w:rFonts w:cs="Arial"/>
              </w:rPr>
              <w:t>Support people to maximis</w:t>
            </w:r>
            <w:r w:rsidRPr="00174912">
              <w:rPr>
                <w:rFonts w:cs="Arial"/>
              </w:rPr>
              <w:t>e their independence through the delivery of a reablement approach across all localities</w:t>
            </w:r>
          </w:p>
        </w:tc>
        <w:tc>
          <w:tcPr>
            <w:tcW w:w="3220" w:type="dxa"/>
            <w:tcBorders>
              <w:top w:val="single" w:sz="4" w:space="0" w:color="auto"/>
              <w:left w:val="single" w:sz="4" w:space="0" w:color="auto"/>
              <w:bottom w:val="single" w:sz="4" w:space="0" w:color="auto"/>
              <w:right w:val="single" w:sz="4" w:space="0" w:color="auto"/>
            </w:tcBorders>
          </w:tcPr>
          <w:p w:rsidR="009E18B0" w:rsidRPr="0040014F" w:rsidRDefault="009E18B0" w:rsidP="006D68C3">
            <w:pPr>
              <w:jc w:val="center"/>
            </w:pPr>
            <w:r w:rsidRPr="0040014F">
              <w:t>2017/18</w:t>
            </w:r>
          </w:p>
        </w:tc>
        <w:tc>
          <w:tcPr>
            <w:tcW w:w="2393" w:type="dxa"/>
            <w:tcBorders>
              <w:top w:val="single" w:sz="4" w:space="0" w:color="auto"/>
              <w:left w:val="single" w:sz="4" w:space="0" w:color="auto"/>
              <w:bottom w:val="single" w:sz="4" w:space="0" w:color="auto"/>
              <w:right w:val="single" w:sz="4" w:space="0" w:color="auto"/>
            </w:tcBorders>
          </w:tcPr>
          <w:p w:rsidR="009E18B0" w:rsidRPr="0040014F" w:rsidRDefault="009E18B0" w:rsidP="006D68C3">
            <w:pPr>
              <w:tabs>
                <w:tab w:val="num" w:pos="1671"/>
              </w:tabs>
              <w:jc w:val="center"/>
              <w:rPr>
                <w:rFonts w:cs="Arial"/>
              </w:rPr>
            </w:pPr>
            <w:r>
              <w:rPr>
                <w:rFonts w:cs="Arial"/>
              </w:rPr>
              <w:t xml:space="preserve">Heads of Health and </w:t>
            </w:r>
            <w:r w:rsidRPr="0040014F">
              <w:rPr>
                <w:rFonts w:cs="Arial"/>
              </w:rPr>
              <w:t>Social Care</w:t>
            </w:r>
          </w:p>
        </w:tc>
        <w:tc>
          <w:tcPr>
            <w:tcW w:w="1729" w:type="dxa"/>
            <w:tcBorders>
              <w:top w:val="single" w:sz="4" w:space="0" w:color="auto"/>
              <w:left w:val="single" w:sz="4" w:space="0" w:color="auto"/>
              <w:bottom w:val="single" w:sz="4" w:space="0" w:color="auto"/>
              <w:right w:val="single" w:sz="4" w:space="0" w:color="auto"/>
            </w:tcBorders>
          </w:tcPr>
          <w:p w:rsidR="009E18B0" w:rsidRPr="0040382F" w:rsidRDefault="009E18B0" w:rsidP="006D68C3">
            <w:pPr>
              <w:tabs>
                <w:tab w:val="num" w:pos="1671"/>
              </w:tabs>
              <w:jc w:val="center"/>
              <w:rPr>
                <w:rFonts w:cs="Arial"/>
              </w:rPr>
            </w:pPr>
            <w:r w:rsidRPr="0040382F">
              <w:rPr>
                <w:rFonts w:cs="Arial"/>
              </w:rPr>
              <w:t>5</w:t>
            </w:r>
          </w:p>
        </w:tc>
      </w:tr>
      <w:tr w:rsidR="009E18B0" w:rsidRPr="00680A11" w:rsidTr="00D35FB3">
        <w:trPr>
          <w:trHeight w:val="990"/>
        </w:trPr>
        <w:tc>
          <w:tcPr>
            <w:tcW w:w="2970" w:type="dxa"/>
            <w:vMerge/>
            <w:tcBorders>
              <w:left w:val="single" w:sz="4" w:space="0" w:color="auto"/>
              <w:right w:val="single" w:sz="4" w:space="0" w:color="auto"/>
            </w:tcBorders>
            <w:shd w:val="clear" w:color="auto" w:fill="FFFFFF" w:themeFill="background1"/>
          </w:tcPr>
          <w:p w:rsidR="009E18B0" w:rsidRPr="00174912" w:rsidRDefault="009E18B0" w:rsidP="00B45DB9">
            <w:pPr>
              <w:pStyle w:val="ListBullet"/>
              <w:numPr>
                <w:ilvl w:val="0"/>
                <w:numId w:val="0"/>
              </w:numPr>
              <w:tabs>
                <w:tab w:val="left" w:pos="720"/>
              </w:tabs>
              <w:spacing w:line="276" w:lineRule="auto"/>
              <w:rPr>
                <w:rFonts w:ascii="Arial" w:hAnsi="Arial" w:cs="Arial"/>
                <w:b/>
                <w:sz w:val="22"/>
                <w:szCs w:val="22"/>
              </w:rPr>
            </w:pPr>
          </w:p>
        </w:tc>
        <w:tc>
          <w:tcPr>
            <w:tcW w:w="3862" w:type="dxa"/>
            <w:tcBorders>
              <w:top w:val="single" w:sz="4" w:space="0" w:color="auto"/>
              <w:left w:val="single" w:sz="4" w:space="0" w:color="auto"/>
              <w:bottom w:val="single" w:sz="4" w:space="0" w:color="auto"/>
              <w:right w:val="single" w:sz="4" w:space="0" w:color="auto"/>
            </w:tcBorders>
          </w:tcPr>
          <w:p w:rsidR="009E18B0" w:rsidRPr="00174912" w:rsidRDefault="009E18B0" w:rsidP="006D68C3">
            <w:pPr>
              <w:tabs>
                <w:tab w:val="num" w:pos="1671"/>
              </w:tabs>
              <w:rPr>
                <w:rFonts w:cs="Arial"/>
              </w:rPr>
            </w:pPr>
            <w:r w:rsidRPr="00174912">
              <w:rPr>
                <w:rFonts w:cs="Arial"/>
              </w:rPr>
              <w:t>Continue to deliver the Care at Home Medicines Management Project to include all care at home providers across the four localities</w:t>
            </w:r>
          </w:p>
        </w:tc>
        <w:tc>
          <w:tcPr>
            <w:tcW w:w="3220" w:type="dxa"/>
            <w:tcBorders>
              <w:top w:val="single" w:sz="4" w:space="0" w:color="auto"/>
              <w:left w:val="single" w:sz="4" w:space="0" w:color="auto"/>
              <w:bottom w:val="single" w:sz="4" w:space="0" w:color="auto"/>
              <w:right w:val="single" w:sz="4" w:space="0" w:color="auto"/>
            </w:tcBorders>
          </w:tcPr>
          <w:p w:rsidR="009E18B0" w:rsidRPr="0040014F" w:rsidRDefault="009E18B0" w:rsidP="006D68C3">
            <w:pPr>
              <w:jc w:val="center"/>
            </w:pPr>
            <w:r w:rsidRPr="0040014F">
              <w:t>2017/18</w:t>
            </w:r>
          </w:p>
        </w:tc>
        <w:tc>
          <w:tcPr>
            <w:tcW w:w="2393" w:type="dxa"/>
            <w:tcBorders>
              <w:top w:val="single" w:sz="4" w:space="0" w:color="auto"/>
              <w:left w:val="single" w:sz="4" w:space="0" w:color="auto"/>
              <w:bottom w:val="single" w:sz="4" w:space="0" w:color="auto"/>
              <w:right w:val="single" w:sz="4" w:space="0" w:color="auto"/>
            </w:tcBorders>
          </w:tcPr>
          <w:p w:rsidR="009E18B0" w:rsidRPr="0040014F" w:rsidRDefault="009E18B0" w:rsidP="006D68C3">
            <w:pPr>
              <w:tabs>
                <w:tab w:val="num" w:pos="1671"/>
              </w:tabs>
              <w:jc w:val="center"/>
              <w:rPr>
                <w:rFonts w:cs="Arial"/>
              </w:rPr>
            </w:pPr>
            <w:r>
              <w:rPr>
                <w:rFonts w:cs="Arial"/>
              </w:rPr>
              <w:t>Heads of Health and</w:t>
            </w:r>
            <w:r w:rsidRPr="0040014F">
              <w:rPr>
                <w:rFonts w:cs="Arial"/>
              </w:rPr>
              <w:t xml:space="preserve"> Social Care</w:t>
            </w:r>
          </w:p>
        </w:tc>
        <w:tc>
          <w:tcPr>
            <w:tcW w:w="1729" w:type="dxa"/>
            <w:tcBorders>
              <w:top w:val="single" w:sz="4" w:space="0" w:color="auto"/>
              <w:left w:val="single" w:sz="4" w:space="0" w:color="auto"/>
              <w:bottom w:val="single" w:sz="4" w:space="0" w:color="auto"/>
              <w:right w:val="single" w:sz="4" w:space="0" w:color="auto"/>
            </w:tcBorders>
          </w:tcPr>
          <w:p w:rsidR="009E18B0" w:rsidRPr="0040382F" w:rsidRDefault="009E18B0" w:rsidP="006D68C3">
            <w:pPr>
              <w:tabs>
                <w:tab w:val="num" w:pos="1671"/>
              </w:tabs>
              <w:jc w:val="center"/>
              <w:rPr>
                <w:rFonts w:cs="Arial"/>
              </w:rPr>
            </w:pPr>
            <w:r w:rsidRPr="0040382F">
              <w:rPr>
                <w:rFonts w:cs="Arial"/>
              </w:rPr>
              <w:t>5</w:t>
            </w:r>
          </w:p>
        </w:tc>
      </w:tr>
      <w:tr w:rsidR="009E18B0" w:rsidRPr="00680A11" w:rsidTr="00D35FB3">
        <w:trPr>
          <w:trHeight w:val="990"/>
        </w:trPr>
        <w:tc>
          <w:tcPr>
            <w:tcW w:w="2970" w:type="dxa"/>
            <w:vMerge/>
            <w:tcBorders>
              <w:left w:val="single" w:sz="4" w:space="0" w:color="auto"/>
              <w:right w:val="single" w:sz="4" w:space="0" w:color="auto"/>
            </w:tcBorders>
            <w:shd w:val="clear" w:color="auto" w:fill="FFFFFF" w:themeFill="background1"/>
          </w:tcPr>
          <w:p w:rsidR="009E18B0" w:rsidRPr="00174912" w:rsidRDefault="009E18B0" w:rsidP="00B45DB9">
            <w:pPr>
              <w:pStyle w:val="ListBullet"/>
              <w:numPr>
                <w:ilvl w:val="0"/>
                <w:numId w:val="0"/>
              </w:numPr>
              <w:tabs>
                <w:tab w:val="left" w:pos="720"/>
              </w:tabs>
              <w:spacing w:line="276" w:lineRule="auto"/>
              <w:rPr>
                <w:rFonts w:ascii="Arial" w:hAnsi="Arial" w:cs="Arial"/>
                <w:b/>
                <w:sz w:val="22"/>
                <w:szCs w:val="22"/>
              </w:rPr>
            </w:pPr>
          </w:p>
        </w:tc>
        <w:tc>
          <w:tcPr>
            <w:tcW w:w="3862" w:type="dxa"/>
            <w:tcBorders>
              <w:top w:val="single" w:sz="4" w:space="0" w:color="auto"/>
              <w:left w:val="single" w:sz="4" w:space="0" w:color="auto"/>
              <w:bottom w:val="single" w:sz="4" w:space="0" w:color="auto"/>
              <w:right w:val="single" w:sz="4" w:space="0" w:color="auto"/>
            </w:tcBorders>
          </w:tcPr>
          <w:p w:rsidR="009E18B0" w:rsidRPr="00174912" w:rsidRDefault="009E18B0" w:rsidP="006D68C3">
            <w:pPr>
              <w:tabs>
                <w:tab w:val="num" w:pos="1671"/>
              </w:tabs>
              <w:rPr>
                <w:rFonts w:cs="Arial"/>
              </w:rPr>
            </w:pPr>
            <w:r>
              <w:rPr>
                <w:rFonts w:cs="Arial"/>
              </w:rPr>
              <w:t>We will develop Telehealth and Telecare approaches in p</w:t>
            </w:r>
            <w:r w:rsidRPr="00174912">
              <w:rPr>
                <w:rFonts w:cs="Arial"/>
              </w:rPr>
              <w:t>artnership with housing which will support people to live safely and independently in their own homes</w:t>
            </w:r>
          </w:p>
        </w:tc>
        <w:tc>
          <w:tcPr>
            <w:tcW w:w="3220" w:type="dxa"/>
            <w:tcBorders>
              <w:top w:val="single" w:sz="4" w:space="0" w:color="auto"/>
              <w:left w:val="single" w:sz="4" w:space="0" w:color="auto"/>
              <w:bottom w:val="single" w:sz="4" w:space="0" w:color="auto"/>
              <w:right w:val="single" w:sz="4" w:space="0" w:color="auto"/>
            </w:tcBorders>
          </w:tcPr>
          <w:p w:rsidR="009E18B0" w:rsidRPr="0040014F" w:rsidRDefault="009E18B0" w:rsidP="006D68C3">
            <w:pPr>
              <w:jc w:val="center"/>
            </w:pPr>
            <w:r w:rsidRPr="0040014F">
              <w:t>2017/18</w:t>
            </w:r>
          </w:p>
        </w:tc>
        <w:tc>
          <w:tcPr>
            <w:tcW w:w="2393" w:type="dxa"/>
            <w:tcBorders>
              <w:top w:val="single" w:sz="4" w:space="0" w:color="auto"/>
              <w:left w:val="single" w:sz="4" w:space="0" w:color="auto"/>
              <w:bottom w:val="single" w:sz="4" w:space="0" w:color="auto"/>
              <w:right w:val="single" w:sz="4" w:space="0" w:color="auto"/>
            </w:tcBorders>
          </w:tcPr>
          <w:p w:rsidR="009E18B0" w:rsidRPr="0040014F" w:rsidRDefault="009E18B0" w:rsidP="006D68C3">
            <w:pPr>
              <w:tabs>
                <w:tab w:val="num" w:pos="1671"/>
              </w:tabs>
              <w:jc w:val="center"/>
              <w:rPr>
                <w:rFonts w:cs="Arial"/>
              </w:rPr>
            </w:pPr>
            <w:r w:rsidRPr="0040014F">
              <w:rPr>
                <w:rFonts w:cs="Arial"/>
              </w:rPr>
              <w:t>Heads of Hea</w:t>
            </w:r>
            <w:r>
              <w:rPr>
                <w:rFonts w:cs="Arial"/>
              </w:rPr>
              <w:t>lth and</w:t>
            </w:r>
            <w:r w:rsidRPr="0040014F">
              <w:rPr>
                <w:rFonts w:cs="Arial"/>
              </w:rPr>
              <w:t xml:space="preserve"> Social Care</w:t>
            </w:r>
          </w:p>
        </w:tc>
        <w:tc>
          <w:tcPr>
            <w:tcW w:w="1729" w:type="dxa"/>
            <w:tcBorders>
              <w:top w:val="single" w:sz="4" w:space="0" w:color="auto"/>
              <w:left w:val="single" w:sz="4" w:space="0" w:color="auto"/>
              <w:bottom w:val="single" w:sz="4" w:space="0" w:color="auto"/>
              <w:right w:val="single" w:sz="4" w:space="0" w:color="auto"/>
            </w:tcBorders>
          </w:tcPr>
          <w:p w:rsidR="009E18B0" w:rsidRPr="0040382F" w:rsidRDefault="009E18B0" w:rsidP="006D68C3">
            <w:pPr>
              <w:tabs>
                <w:tab w:val="num" w:pos="1671"/>
              </w:tabs>
              <w:jc w:val="center"/>
              <w:rPr>
                <w:rFonts w:cs="Arial"/>
              </w:rPr>
            </w:pPr>
            <w:r w:rsidRPr="0040382F">
              <w:rPr>
                <w:rFonts w:cs="Arial"/>
              </w:rPr>
              <w:t>5</w:t>
            </w:r>
          </w:p>
        </w:tc>
      </w:tr>
      <w:tr w:rsidR="009E18B0" w:rsidRPr="00680A11" w:rsidTr="00D35FB3">
        <w:trPr>
          <w:trHeight w:val="990"/>
        </w:trPr>
        <w:tc>
          <w:tcPr>
            <w:tcW w:w="2970" w:type="dxa"/>
            <w:vMerge/>
            <w:tcBorders>
              <w:left w:val="single" w:sz="4" w:space="0" w:color="auto"/>
              <w:right w:val="single" w:sz="4" w:space="0" w:color="auto"/>
            </w:tcBorders>
            <w:shd w:val="clear" w:color="auto" w:fill="FFFFFF" w:themeFill="background1"/>
          </w:tcPr>
          <w:p w:rsidR="009E18B0" w:rsidRPr="00333CEB" w:rsidRDefault="009E18B0" w:rsidP="00B45DB9">
            <w:pPr>
              <w:pStyle w:val="ListBullet"/>
              <w:numPr>
                <w:ilvl w:val="0"/>
                <w:numId w:val="0"/>
              </w:numPr>
              <w:tabs>
                <w:tab w:val="left" w:pos="720"/>
              </w:tabs>
              <w:spacing w:line="276" w:lineRule="auto"/>
              <w:rPr>
                <w:rFonts w:ascii="Arial" w:hAnsi="Arial" w:cs="Arial"/>
                <w:b/>
                <w:sz w:val="22"/>
                <w:szCs w:val="22"/>
              </w:rPr>
            </w:pPr>
          </w:p>
        </w:tc>
        <w:tc>
          <w:tcPr>
            <w:tcW w:w="3862" w:type="dxa"/>
            <w:tcBorders>
              <w:top w:val="single" w:sz="4" w:space="0" w:color="auto"/>
              <w:left w:val="single" w:sz="4" w:space="0" w:color="auto"/>
              <w:bottom w:val="single" w:sz="4" w:space="0" w:color="auto"/>
              <w:right w:val="single" w:sz="4" w:space="0" w:color="auto"/>
            </w:tcBorders>
          </w:tcPr>
          <w:p w:rsidR="009E18B0" w:rsidRPr="00174912" w:rsidRDefault="009E18B0" w:rsidP="006D68C3">
            <w:pPr>
              <w:tabs>
                <w:tab w:val="num" w:pos="1671"/>
              </w:tabs>
              <w:rPr>
                <w:rFonts w:cs="Arial"/>
              </w:rPr>
            </w:pPr>
            <w:r w:rsidRPr="00174912">
              <w:rPr>
                <w:rFonts w:cs="Arial"/>
              </w:rPr>
              <w:t>Monitor the Self Directed Support options that service users and carers are selecting as part of directing their own health and care</w:t>
            </w:r>
          </w:p>
        </w:tc>
        <w:tc>
          <w:tcPr>
            <w:tcW w:w="3220" w:type="dxa"/>
            <w:tcBorders>
              <w:top w:val="single" w:sz="4" w:space="0" w:color="auto"/>
              <w:left w:val="single" w:sz="4" w:space="0" w:color="auto"/>
              <w:bottom w:val="single" w:sz="4" w:space="0" w:color="auto"/>
              <w:right w:val="single" w:sz="4" w:space="0" w:color="auto"/>
            </w:tcBorders>
          </w:tcPr>
          <w:p w:rsidR="009E18B0" w:rsidRPr="0040014F" w:rsidRDefault="009E18B0" w:rsidP="006D68C3">
            <w:pPr>
              <w:jc w:val="center"/>
            </w:pPr>
            <w:r w:rsidRPr="0040014F">
              <w:t>2017/18</w:t>
            </w:r>
          </w:p>
        </w:tc>
        <w:tc>
          <w:tcPr>
            <w:tcW w:w="2393" w:type="dxa"/>
            <w:tcBorders>
              <w:top w:val="single" w:sz="4" w:space="0" w:color="auto"/>
              <w:left w:val="single" w:sz="4" w:space="0" w:color="auto"/>
              <w:bottom w:val="single" w:sz="4" w:space="0" w:color="auto"/>
              <w:right w:val="single" w:sz="4" w:space="0" w:color="auto"/>
            </w:tcBorders>
          </w:tcPr>
          <w:p w:rsidR="009E18B0" w:rsidRPr="0040014F" w:rsidRDefault="009E18B0" w:rsidP="006D68C3">
            <w:pPr>
              <w:tabs>
                <w:tab w:val="num" w:pos="1671"/>
              </w:tabs>
              <w:jc w:val="center"/>
              <w:rPr>
                <w:rFonts w:cs="Arial"/>
              </w:rPr>
            </w:pPr>
            <w:r>
              <w:rPr>
                <w:rFonts w:cs="Arial"/>
              </w:rPr>
              <w:t>Head of Commissioning and</w:t>
            </w:r>
            <w:r w:rsidRPr="0040014F">
              <w:rPr>
                <w:rFonts w:cs="Arial"/>
              </w:rPr>
              <w:t xml:space="preserve"> Performance</w:t>
            </w:r>
          </w:p>
        </w:tc>
        <w:tc>
          <w:tcPr>
            <w:tcW w:w="1729" w:type="dxa"/>
            <w:tcBorders>
              <w:top w:val="single" w:sz="4" w:space="0" w:color="auto"/>
              <w:left w:val="single" w:sz="4" w:space="0" w:color="auto"/>
              <w:bottom w:val="single" w:sz="4" w:space="0" w:color="auto"/>
              <w:right w:val="single" w:sz="4" w:space="0" w:color="auto"/>
            </w:tcBorders>
          </w:tcPr>
          <w:p w:rsidR="009E18B0" w:rsidRPr="0040382F" w:rsidRDefault="009E18B0" w:rsidP="006D68C3">
            <w:pPr>
              <w:tabs>
                <w:tab w:val="num" w:pos="1671"/>
              </w:tabs>
              <w:jc w:val="center"/>
              <w:rPr>
                <w:rFonts w:cs="Arial"/>
              </w:rPr>
            </w:pPr>
            <w:r w:rsidRPr="0040382F">
              <w:rPr>
                <w:rFonts w:cs="Arial"/>
              </w:rPr>
              <w:t>5</w:t>
            </w:r>
          </w:p>
        </w:tc>
      </w:tr>
    </w:tbl>
    <w:p w:rsidR="00B93AEC" w:rsidRDefault="00B93AEC" w:rsidP="00B93AEC">
      <w:pPr>
        <w:rPr>
          <w:rFonts w:cs="Arial"/>
          <w:b/>
          <w:sz w:val="24"/>
          <w:szCs w:val="24"/>
        </w:rPr>
      </w:pPr>
    </w:p>
    <w:p w:rsidR="00B93AEC" w:rsidRPr="00CA61BB" w:rsidRDefault="00B93AEC" w:rsidP="00B93AEC">
      <w:pPr>
        <w:pStyle w:val="ListParagraph"/>
        <w:numPr>
          <w:ilvl w:val="0"/>
          <w:numId w:val="36"/>
        </w:numPr>
        <w:ind w:left="0" w:firstLine="0"/>
        <w:rPr>
          <w:rFonts w:cs="Arial"/>
          <w:b/>
        </w:rPr>
      </w:pPr>
      <w:r w:rsidRPr="00CA61BB">
        <w:rPr>
          <w:rFonts w:cs="Arial"/>
          <w:b/>
        </w:rPr>
        <w:t>Family focused inc</w:t>
      </w:r>
      <w:r w:rsidR="00CD779E">
        <w:rPr>
          <w:rFonts w:cs="Arial"/>
          <w:b/>
        </w:rPr>
        <w:t>lusion strategy</w:t>
      </w:r>
      <w:r w:rsidR="00CD779E">
        <w:rPr>
          <w:rFonts w:cs="Arial"/>
          <w:b/>
        </w:rPr>
        <w:tab/>
      </w:r>
      <w:r w:rsidR="00CD779E">
        <w:rPr>
          <w:rFonts w:cs="Arial"/>
          <w:b/>
        </w:rPr>
        <w:tab/>
      </w:r>
      <w:r w:rsidR="00CD779E">
        <w:rPr>
          <w:rFonts w:cs="Arial"/>
          <w:b/>
        </w:rPr>
        <w:tab/>
      </w:r>
      <w:r w:rsidR="00CD779E">
        <w:rPr>
          <w:rFonts w:cs="Arial"/>
          <w:b/>
        </w:rPr>
        <w:tab/>
      </w:r>
      <w:r w:rsidR="00CD779E">
        <w:rPr>
          <w:rFonts w:cs="Arial"/>
          <w:b/>
        </w:rPr>
        <w:tab/>
        <w:t>5</w:t>
      </w:r>
      <w:r w:rsidR="00CD779E">
        <w:rPr>
          <w:rFonts w:cs="Arial"/>
          <w:b/>
        </w:rPr>
        <w:tab/>
        <w:t>Tackling h</w:t>
      </w:r>
      <w:r w:rsidRPr="00CA61BB">
        <w:rPr>
          <w:rFonts w:cs="Arial"/>
          <w:b/>
        </w:rPr>
        <w:t>ealth inequalities</w:t>
      </w:r>
    </w:p>
    <w:p w:rsidR="00B93AEC" w:rsidRPr="00CA61BB" w:rsidRDefault="00CD779E" w:rsidP="00B93AEC">
      <w:pPr>
        <w:pStyle w:val="ListParagraph"/>
        <w:numPr>
          <w:ilvl w:val="0"/>
          <w:numId w:val="36"/>
        </w:numPr>
        <w:ind w:left="0" w:firstLine="0"/>
        <w:rPr>
          <w:rFonts w:cs="Arial"/>
          <w:b/>
        </w:rPr>
      </w:pPr>
      <w:r>
        <w:rPr>
          <w:rFonts w:cs="Arial"/>
          <w:b/>
        </w:rPr>
        <w:t>Supporting employment/</w:t>
      </w:r>
      <w:r w:rsidR="00B93AEC" w:rsidRPr="00CA61BB">
        <w:rPr>
          <w:rFonts w:cs="Arial"/>
          <w:b/>
        </w:rPr>
        <w:t>childcare</w:t>
      </w:r>
      <w:r w:rsidR="00B93AEC" w:rsidRPr="00CA61BB">
        <w:rPr>
          <w:rFonts w:cs="Arial"/>
          <w:b/>
        </w:rPr>
        <w:tab/>
      </w:r>
      <w:r w:rsidR="00B93AEC" w:rsidRPr="00CA61BB">
        <w:rPr>
          <w:rFonts w:cs="Arial"/>
          <w:b/>
        </w:rPr>
        <w:tab/>
      </w:r>
      <w:r w:rsidR="00B93AEC" w:rsidRPr="00CA61BB">
        <w:rPr>
          <w:rFonts w:cs="Arial"/>
          <w:b/>
        </w:rPr>
        <w:tab/>
      </w:r>
      <w:r>
        <w:rPr>
          <w:rFonts w:cs="Arial"/>
          <w:b/>
        </w:rPr>
        <w:tab/>
      </w:r>
      <w:r w:rsidR="00B93AEC">
        <w:rPr>
          <w:rFonts w:cs="Arial"/>
          <w:b/>
        </w:rPr>
        <w:tab/>
      </w:r>
      <w:r w:rsidR="00B93AEC" w:rsidRPr="00CA61BB">
        <w:rPr>
          <w:rFonts w:cs="Arial"/>
          <w:b/>
        </w:rPr>
        <w:t>6</w:t>
      </w:r>
      <w:r w:rsidR="00B93AEC" w:rsidRPr="00CA61BB">
        <w:rPr>
          <w:rFonts w:cs="Arial"/>
          <w:b/>
        </w:rPr>
        <w:tab/>
        <w:t>Supporting safeguarding measures</w:t>
      </w:r>
    </w:p>
    <w:p w:rsidR="00B93AEC" w:rsidRPr="00CA61BB" w:rsidRDefault="00B93AEC" w:rsidP="00B93AEC">
      <w:pPr>
        <w:pStyle w:val="ListParagraph"/>
        <w:numPr>
          <w:ilvl w:val="0"/>
          <w:numId w:val="36"/>
        </w:numPr>
        <w:ind w:left="0" w:firstLine="0"/>
        <w:rPr>
          <w:rFonts w:cs="Arial"/>
          <w:b/>
        </w:rPr>
      </w:pPr>
      <w:r w:rsidRPr="00CA61BB">
        <w:rPr>
          <w:rFonts w:cs="Arial"/>
          <w:b/>
        </w:rPr>
        <w:t>Improving housing quality</w:t>
      </w:r>
      <w:r w:rsidRPr="00CA61BB">
        <w:rPr>
          <w:rFonts w:cs="Arial"/>
          <w:b/>
        </w:rPr>
        <w:tab/>
      </w:r>
      <w:r w:rsidRPr="00CA61BB">
        <w:rPr>
          <w:rFonts w:cs="Arial"/>
          <w:b/>
        </w:rPr>
        <w:tab/>
      </w:r>
      <w:r w:rsidRPr="00CA61BB">
        <w:rPr>
          <w:rFonts w:cs="Arial"/>
          <w:b/>
        </w:rPr>
        <w:tab/>
      </w:r>
      <w:r w:rsidRPr="00CA61BB">
        <w:rPr>
          <w:rFonts w:cs="Arial"/>
          <w:b/>
        </w:rPr>
        <w:tab/>
      </w:r>
      <w:r w:rsidRPr="00CA61BB">
        <w:rPr>
          <w:rFonts w:cs="Arial"/>
          <w:b/>
        </w:rPr>
        <w:tab/>
      </w:r>
      <w:r w:rsidRPr="00CA61BB">
        <w:rPr>
          <w:rFonts w:cs="Arial"/>
          <w:b/>
        </w:rPr>
        <w:tab/>
        <w:t>7</w:t>
      </w:r>
      <w:r w:rsidRPr="00CA61BB">
        <w:rPr>
          <w:rFonts w:cs="Arial"/>
          <w:b/>
        </w:rPr>
        <w:tab/>
        <w:t>Improving local environment</w:t>
      </w:r>
    </w:p>
    <w:p w:rsidR="00B93AEC" w:rsidRPr="00CA61BB" w:rsidRDefault="00B93AEC" w:rsidP="00B93AEC">
      <w:pPr>
        <w:pStyle w:val="ListParagraph"/>
        <w:numPr>
          <w:ilvl w:val="0"/>
          <w:numId w:val="36"/>
        </w:numPr>
        <w:ind w:left="0" w:firstLine="0"/>
        <w:rPr>
          <w:rFonts w:cs="Arial"/>
          <w:b/>
        </w:rPr>
      </w:pPr>
      <w:r w:rsidRPr="00CA61BB">
        <w:rPr>
          <w:rFonts w:cs="Arial"/>
          <w:b/>
        </w:rPr>
        <w:t>Supporting education, skills, development – young people</w:t>
      </w:r>
    </w:p>
    <w:p w:rsidR="00B93AEC" w:rsidRDefault="00B93AEC" w:rsidP="00B93AEC">
      <w:pPr>
        <w:ind w:firstLine="360"/>
        <w:rPr>
          <w:rFonts w:cs="Arial"/>
          <w:b/>
          <w:sz w:val="24"/>
          <w:szCs w:val="24"/>
        </w:rPr>
      </w:pPr>
    </w:p>
    <w:p w:rsidR="00DF2FFE" w:rsidRPr="00DF2FFE" w:rsidRDefault="00DF2FFE" w:rsidP="00DF2FFE">
      <w:pPr>
        <w:rPr>
          <w:rFonts w:cs="Arial"/>
          <w:sz w:val="24"/>
          <w:szCs w:val="24"/>
        </w:rPr>
      </w:pPr>
    </w:p>
    <w:p w:rsidR="009F71A9" w:rsidRDefault="009F71A9">
      <w:pPr>
        <w:ind w:firstLine="360"/>
        <w:rPr>
          <w:rFonts w:cs="Arial"/>
          <w:b/>
          <w:sz w:val="24"/>
          <w:szCs w:val="24"/>
        </w:rPr>
      </w:pPr>
      <w:r>
        <w:rPr>
          <w:rFonts w:cs="Arial"/>
          <w:b/>
          <w:sz w:val="24"/>
          <w:szCs w:val="24"/>
        </w:rPr>
        <w:br w:type="page"/>
      </w:r>
    </w:p>
    <w:p w:rsidR="00B45DB9" w:rsidRDefault="008D0079" w:rsidP="00B45DB9">
      <w:pPr>
        <w:rPr>
          <w:rFonts w:cs="Arial"/>
          <w:b/>
          <w:sz w:val="24"/>
          <w:szCs w:val="24"/>
        </w:rPr>
      </w:pPr>
      <w:r>
        <w:rPr>
          <w:rFonts w:cs="Arial"/>
          <w:b/>
          <w:sz w:val="24"/>
          <w:szCs w:val="24"/>
        </w:rPr>
        <w:t>PIP</w:t>
      </w:r>
      <w:r w:rsidR="00B45DB9">
        <w:rPr>
          <w:rFonts w:cs="Arial"/>
          <w:b/>
          <w:sz w:val="24"/>
          <w:szCs w:val="24"/>
        </w:rPr>
        <w:t xml:space="preserve"> – Health and Care</w:t>
      </w:r>
    </w:p>
    <w:p w:rsidR="00B45DB9" w:rsidRPr="00C82AE0" w:rsidRDefault="00B45DB9" w:rsidP="00B45DB9">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CCFF"/>
        <w:tblLook w:val="01E0" w:firstRow="1" w:lastRow="1" w:firstColumn="1" w:lastColumn="1" w:noHBand="0" w:noVBand="0"/>
      </w:tblPr>
      <w:tblGrid>
        <w:gridCol w:w="13948"/>
      </w:tblGrid>
      <w:tr w:rsidR="00B45DB9" w:rsidRPr="007A29DE" w:rsidTr="00B45DB9">
        <w:trPr>
          <w:trHeight w:val="384"/>
        </w:trPr>
        <w:tc>
          <w:tcPr>
            <w:tcW w:w="14174" w:type="dxa"/>
            <w:tcBorders>
              <w:top w:val="single" w:sz="4" w:space="0" w:color="auto"/>
              <w:left w:val="single" w:sz="4" w:space="0" w:color="auto"/>
              <w:bottom w:val="single" w:sz="4" w:space="0" w:color="auto"/>
              <w:right w:val="single" w:sz="4" w:space="0" w:color="auto"/>
            </w:tcBorders>
            <w:shd w:val="clear" w:color="auto" w:fill="FFFF00"/>
          </w:tcPr>
          <w:p w:rsidR="00B45DB9" w:rsidRPr="007A29DE" w:rsidRDefault="00B45DB9" w:rsidP="006B58DB">
            <w:pPr>
              <w:pStyle w:val="ListBullet"/>
              <w:numPr>
                <w:ilvl w:val="0"/>
                <w:numId w:val="0"/>
              </w:numPr>
              <w:tabs>
                <w:tab w:val="left" w:pos="720"/>
                <w:tab w:val="left" w:pos="5486"/>
              </w:tabs>
              <w:rPr>
                <w:rFonts w:ascii="Arial" w:hAnsi="Arial" w:cs="Arial"/>
                <w:b/>
                <w:sz w:val="22"/>
                <w:szCs w:val="22"/>
              </w:rPr>
            </w:pPr>
            <w:r w:rsidRPr="007A29DE">
              <w:rPr>
                <w:rFonts w:cs="Arial"/>
                <w:b/>
                <w:sz w:val="22"/>
                <w:szCs w:val="22"/>
              </w:rPr>
              <w:br w:type="page"/>
            </w:r>
            <w:r w:rsidR="008103F0" w:rsidRPr="007A29DE">
              <w:rPr>
                <w:rFonts w:ascii="Arial" w:hAnsi="Arial" w:cs="Arial"/>
                <w:b/>
                <w:sz w:val="22"/>
                <w:szCs w:val="22"/>
              </w:rPr>
              <w:t>Priority</w:t>
            </w:r>
            <w:r w:rsidRPr="007A29DE">
              <w:rPr>
                <w:rFonts w:ascii="Arial" w:hAnsi="Arial" w:cs="Arial"/>
                <w:b/>
                <w:sz w:val="22"/>
                <w:szCs w:val="22"/>
              </w:rPr>
              <w:t xml:space="preserve"> Outcome 3</w:t>
            </w:r>
            <w:r w:rsidR="006B58DB">
              <w:rPr>
                <w:rFonts w:ascii="Arial" w:hAnsi="Arial" w:cs="Arial"/>
                <w:b/>
                <w:sz w:val="22"/>
                <w:szCs w:val="22"/>
              </w:rPr>
              <w:t>:</w:t>
            </w:r>
            <w:r w:rsidRPr="007A29DE">
              <w:rPr>
                <w:rFonts w:ascii="Arial" w:hAnsi="Arial" w:cs="Arial"/>
                <w:b/>
                <w:sz w:val="22"/>
                <w:szCs w:val="22"/>
              </w:rPr>
              <w:t xml:space="preserve"> Carers and in particular those on low incomes are fully supported to access financial advice, information and practical wellbeing support</w:t>
            </w:r>
          </w:p>
        </w:tc>
      </w:tr>
      <w:tr w:rsidR="00B45DB9" w:rsidRPr="00773970" w:rsidTr="00B45DB9">
        <w:tblPrEx>
          <w:shd w:val="clear" w:color="auto" w:fill="auto"/>
        </w:tblPrEx>
        <w:trPr>
          <w:trHeight w:val="344"/>
        </w:trPr>
        <w:tc>
          <w:tcPr>
            <w:tcW w:w="14174" w:type="dxa"/>
            <w:tcBorders>
              <w:top w:val="single" w:sz="4" w:space="0" w:color="auto"/>
              <w:left w:val="single" w:sz="4" w:space="0" w:color="auto"/>
              <w:bottom w:val="single" w:sz="4" w:space="0" w:color="auto"/>
              <w:right w:val="single" w:sz="4" w:space="0" w:color="auto"/>
            </w:tcBorders>
            <w:shd w:val="clear" w:color="auto" w:fill="FFFFFF" w:themeFill="background1"/>
          </w:tcPr>
          <w:p w:rsidR="00B45DB9" w:rsidRDefault="00B45DB9" w:rsidP="00B45DB9">
            <w:pPr>
              <w:pStyle w:val="ListBullet"/>
              <w:numPr>
                <w:ilvl w:val="0"/>
                <w:numId w:val="0"/>
              </w:numPr>
              <w:tabs>
                <w:tab w:val="left" w:pos="720"/>
              </w:tabs>
              <w:rPr>
                <w:rFonts w:ascii="Arial" w:hAnsi="Arial" w:cs="Arial"/>
                <w:sz w:val="22"/>
                <w:szCs w:val="22"/>
              </w:rPr>
            </w:pPr>
            <w:r w:rsidRPr="00C82AE0">
              <w:rPr>
                <w:rFonts w:ascii="Arial" w:hAnsi="Arial" w:cs="Arial"/>
                <w:b/>
                <w:sz w:val="22"/>
                <w:szCs w:val="22"/>
              </w:rPr>
              <w:t>Rationale:</w:t>
            </w:r>
            <w:r>
              <w:rPr>
                <w:rFonts w:ascii="Arial" w:hAnsi="Arial" w:cs="Arial"/>
                <w:sz w:val="22"/>
                <w:szCs w:val="22"/>
              </w:rPr>
              <w:t xml:space="preserve"> In South Lanarkshire and across Scotland, carers provide a significant input to looking after their family members and friends.  Without carers, the demands on an already pressu</w:t>
            </w:r>
            <w:r w:rsidR="00E65E87">
              <w:rPr>
                <w:rFonts w:ascii="Arial" w:hAnsi="Arial" w:cs="Arial"/>
                <w:sz w:val="22"/>
                <w:szCs w:val="22"/>
              </w:rPr>
              <w:t>ris</w:t>
            </w:r>
            <w:r>
              <w:rPr>
                <w:rFonts w:ascii="Arial" w:hAnsi="Arial" w:cs="Arial"/>
                <w:sz w:val="22"/>
                <w:szCs w:val="22"/>
              </w:rPr>
              <w:t>ed health and social care system would increase dramatically, to the extent that existing resources would in no way meet these demands.  Therefore, it is of paramount importance that the contributio</w:t>
            </w:r>
            <w:r w:rsidR="00E65E87">
              <w:rPr>
                <w:rFonts w:ascii="Arial" w:hAnsi="Arial" w:cs="Arial"/>
                <w:sz w:val="22"/>
                <w:szCs w:val="22"/>
              </w:rPr>
              <w:t>n of carers is not only recognis</w:t>
            </w:r>
            <w:r>
              <w:rPr>
                <w:rFonts w:ascii="Arial" w:hAnsi="Arial" w:cs="Arial"/>
                <w:sz w:val="22"/>
                <w:szCs w:val="22"/>
              </w:rPr>
              <w:t xml:space="preserve">ed, but is valued and supported.  Consequently, as a Partnership, we need to work with carers to ensure that the support we offer them enables them to continue </w:t>
            </w:r>
            <w:r w:rsidR="00163BBF">
              <w:rPr>
                <w:rFonts w:ascii="Arial" w:hAnsi="Arial" w:cs="Arial"/>
                <w:sz w:val="22"/>
                <w:szCs w:val="22"/>
              </w:rPr>
              <w:t>in</w:t>
            </w:r>
            <w:r>
              <w:rPr>
                <w:rFonts w:ascii="Arial" w:hAnsi="Arial" w:cs="Arial"/>
                <w:sz w:val="22"/>
                <w:szCs w:val="22"/>
              </w:rPr>
              <w:t xml:space="preserve"> their caring role and that whatever we do has a long term impact and is sustainable. </w:t>
            </w:r>
          </w:p>
          <w:p w:rsidR="00B45DB9" w:rsidRPr="00C82AE0" w:rsidRDefault="00B45DB9" w:rsidP="00B45DB9">
            <w:pPr>
              <w:pStyle w:val="ListBullet"/>
              <w:numPr>
                <w:ilvl w:val="0"/>
                <w:numId w:val="0"/>
              </w:numPr>
              <w:tabs>
                <w:tab w:val="left" w:pos="720"/>
              </w:tabs>
              <w:rPr>
                <w:rFonts w:ascii="Arial" w:hAnsi="Arial" w:cs="Arial"/>
                <w:b/>
                <w:sz w:val="22"/>
                <w:szCs w:val="22"/>
              </w:rPr>
            </w:pPr>
          </w:p>
          <w:p w:rsidR="00B45DB9" w:rsidRDefault="00163BBF" w:rsidP="00B45DB9">
            <w:pPr>
              <w:pStyle w:val="ListBullet"/>
              <w:numPr>
                <w:ilvl w:val="0"/>
                <w:numId w:val="0"/>
              </w:numPr>
              <w:tabs>
                <w:tab w:val="left" w:pos="720"/>
              </w:tabs>
              <w:rPr>
                <w:rFonts w:ascii="Arial" w:hAnsi="Arial" w:cs="Arial"/>
                <w:sz w:val="22"/>
                <w:szCs w:val="22"/>
              </w:rPr>
            </w:pPr>
            <w:r>
              <w:rPr>
                <w:rFonts w:ascii="Arial" w:hAnsi="Arial" w:cs="Arial"/>
                <w:b/>
                <w:sz w:val="22"/>
                <w:szCs w:val="22"/>
              </w:rPr>
              <w:t>Context</w:t>
            </w:r>
            <w:r w:rsidR="00B45DB9" w:rsidRPr="00C82AE0">
              <w:rPr>
                <w:rFonts w:ascii="Arial" w:hAnsi="Arial" w:cs="Arial"/>
                <w:b/>
                <w:sz w:val="22"/>
                <w:szCs w:val="22"/>
              </w:rPr>
              <w:t>:</w:t>
            </w:r>
            <w:r w:rsidR="00B45DB9">
              <w:rPr>
                <w:rFonts w:ascii="Arial" w:hAnsi="Arial" w:cs="Arial"/>
                <w:sz w:val="22"/>
                <w:szCs w:val="22"/>
              </w:rPr>
              <w:t xml:space="preserve"> It is estimated that across Scotland, 12% of the population provide care on a regular basis to family members and friends.  However, it is often debated that this figure could be significantly understating the actual numbers, given that many people who provide care to family members and friends do not regard themselves as a </w:t>
            </w:r>
            <w:r w:rsidR="00BD4C9E">
              <w:rPr>
                <w:rFonts w:ascii="Arial" w:hAnsi="Arial" w:cs="Arial"/>
                <w:sz w:val="22"/>
                <w:szCs w:val="22"/>
              </w:rPr>
              <w:t>carer</w:t>
            </w:r>
            <w:r w:rsidR="00B45DB9">
              <w:rPr>
                <w:rFonts w:ascii="Arial" w:hAnsi="Arial" w:cs="Arial"/>
                <w:sz w:val="22"/>
                <w:szCs w:val="22"/>
              </w:rPr>
              <w:t xml:space="preserve">. </w:t>
            </w:r>
            <w:r w:rsidR="008103F0">
              <w:rPr>
                <w:rFonts w:ascii="Arial" w:hAnsi="Arial" w:cs="Arial"/>
                <w:sz w:val="22"/>
                <w:szCs w:val="22"/>
              </w:rPr>
              <w:t xml:space="preserve"> </w:t>
            </w:r>
            <w:r w:rsidR="00B45DB9">
              <w:rPr>
                <w:rFonts w:ascii="Arial" w:hAnsi="Arial" w:cs="Arial"/>
                <w:sz w:val="22"/>
                <w:szCs w:val="22"/>
              </w:rPr>
              <w:t>In a local context, South Lanarkshire has the following characteristics in relation to the carers profile:</w:t>
            </w:r>
          </w:p>
          <w:p w:rsidR="00B45DB9" w:rsidRDefault="00B45DB9" w:rsidP="00B45DB9">
            <w:pPr>
              <w:pStyle w:val="ListBullet"/>
              <w:numPr>
                <w:ilvl w:val="0"/>
                <w:numId w:val="0"/>
              </w:numPr>
              <w:tabs>
                <w:tab w:val="left" w:pos="720"/>
              </w:tabs>
              <w:rPr>
                <w:rFonts w:ascii="Arial" w:hAnsi="Arial" w:cs="Arial"/>
                <w:sz w:val="22"/>
                <w:szCs w:val="22"/>
              </w:rPr>
            </w:pPr>
          </w:p>
          <w:p w:rsidR="00B45DB9" w:rsidRDefault="00B45DB9" w:rsidP="00B45DB9">
            <w:pPr>
              <w:pStyle w:val="ListBullet"/>
              <w:numPr>
                <w:ilvl w:val="0"/>
                <w:numId w:val="12"/>
              </w:numPr>
              <w:tabs>
                <w:tab w:val="left" w:pos="720"/>
              </w:tabs>
              <w:rPr>
                <w:rFonts w:ascii="Arial" w:hAnsi="Arial" w:cs="Arial"/>
                <w:sz w:val="22"/>
                <w:szCs w:val="22"/>
              </w:rPr>
            </w:pPr>
            <w:r>
              <w:rPr>
                <w:rFonts w:ascii="Arial" w:hAnsi="Arial" w:cs="Arial"/>
                <w:sz w:val="22"/>
                <w:szCs w:val="22"/>
              </w:rPr>
              <w:t>14% of adults or 28,335 people provide care on a regular basis</w:t>
            </w:r>
          </w:p>
          <w:p w:rsidR="00B45DB9" w:rsidRDefault="00B45DB9" w:rsidP="00B45DB9">
            <w:pPr>
              <w:pStyle w:val="ListBullet"/>
              <w:numPr>
                <w:ilvl w:val="0"/>
                <w:numId w:val="12"/>
              </w:numPr>
              <w:tabs>
                <w:tab w:val="left" w:pos="720"/>
              </w:tabs>
              <w:rPr>
                <w:rFonts w:ascii="Arial" w:hAnsi="Arial" w:cs="Arial"/>
                <w:sz w:val="22"/>
                <w:szCs w:val="22"/>
              </w:rPr>
            </w:pPr>
            <w:r>
              <w:rPr>
                <w:rFonts w:ascii="Arial" w:hAnsi="Arial" w:cs="Arial"/>
                <w:sz w:val="22"/>
                <w:szCs w:val="22"/>
              </w:rPr>
              <w:t>Of these 38% provide this continuously</w:t>
            </w:r>
          </w:p>
          <w:p w:rsidR="00B45DB9" w:rsidRDefault="00B45DB9" w:rsidP="00B45DB9">
            <w:pPr>
              <w:pStyle w:val="ListBullet"/>
              <w:numPr>
                <w:ilvl w:val="0"/>
                <w:numId w:val="12"/>
              </w:numPr>
              <w:tabs>
                <w:tab w:val="left" w:pos="720"/>
              </w:tabs>
              <w:rPr>
                <w:rFonts w:ascii="Arial" w:hAnsi="Arial" w:cs="Arial"/>
                <w:sz w:val="22"/>
                <w:szCs w:val="22"/>
              </w:rPr>
            </w:pPr>
            <w:r>
              <w:rPr>
                <w:rFonts w:ascii="Arial" w:hAnsi="Arial" w:cs="Arial"/>
                <w:sz w:val="22"/>
                <w:szCs w:val="22"/>
              </w:rPr>
              <w:t>51% of carers are aged 60+ indicating that similar to a rising older person’s population, the profile of carers is also one of an ageing profile</w:t>
            </w:r>
          </w:p>
          <w:p w:rsidR="00B45DB9" w:rsidRDefault="00B45DB9" w:rsidP="00B45DB9">
            <w:pPr>
              <w:pStyle w:val="ListBullet"/>
              <w:numPr>
                <w:ilvl w:val="0"/>
                <w:numId w:val="12"/>
              </w:numPr>
              <w:tabs>
                <w:tab w:val="left" w:pos="720"/>
              </w:tabs>
              <w:rPr>
                <w:rFonts w:ascii="Arial" w:hAnsi="Arial" w:cs="Arial"/>
                <w:sz w:val="22"/>
                <w:szCs w:val="22"/>
              </w:rPr>
            </w:pPr>
            <w:r>
              <w:rPr>
                <w:rFonts w:ascii="Arial" w:hAnsi="Arial" w:cs="Arial"/>
                <w:sz w:val="22"/>
                <w:szCs w:val="22"/>
              </w:rPr>
              <w:t>Very few carers have formal emergency plans, in circumstances where they may become unwell and cannot continue their caring role.  Most rely on other family</w:t>
            </w:r>
            <w:r w:rsidR="008103F0">
              <w:rPr>
                <w:rFonts w:ascii="Arial" w:hAnsi="Arial" w:cs="Arial"/>
                <w:sz w:val="22"/>
                <w:szCs w:val="22"/>
              </w:rPr>
              <w:t xml:space="preserve"> members and friends or indeed Social Care S</w:t>
            </w:r>
            <w:r>
              <w:rPr>
                <w:rFonts w:ascii="Arial" w:hAnsi="Arial" w:cs="Arial"/>
                <w:sz w:val="22"/>
                <w:szCs w:val="22"/>
              </w:rPr>
              <w:t>ervices</w:t>
            </w:r>
          </w:p>
          <w:p w:rsidR="00B45DB9" w:rsidRDefault="00B45DB9" w:rsidP="00B45DB9">
            <w:pPr>
              <w:pStyle w:val="ListBullet"/>
              <w:numPr>
                <w:ilvl w:val="0"/>
                <w:numId w:val="12"/>
              </w:numPr>
              <w:tabs>
                <w:tab w:val="left" w:pos="720"/>
              </w:tabs>
              <w:rPr>
                <w:rFonts w:ascii="Arial" w:hAnsi="Arial" w:cs="Arial"/>
                <w:sz w:val="22"/>
                <w:szCs w:val="22"/>
              </w:rPr>
            </w:pPr>
            <w:r>
              <w:rPr>
                <w:rFonts w:ascii="Arial" w:hAnsi="Arial" w:cs="Arial"/>
                <w:sz w:val="22"/>
                <w:szCs w:val="22"/>
              </w:rPr>
              <w:t>Carers repeat</w:t>
            </w:r>
            <w:r w:rsidR="00E65E87">
              <w:rPr>
                <w:rFonts w:ascii="Arial" w:hAnsi="Arial" w:cs="Arial"/>
                <w:sz w:val="22"/>
                <w:szCs w:val="22"/>
              </w:rPr>
              <w:t>ed</w:t>
            </w:r>
            <w:r>
              <w:rPr>
                <w:rFonts w:ascii="Arial" w:hAnsi="Arial" w:cs="Arial"/>
                <w:sz w:val="22"/>
                <w:szCs w:val="22"/>
              </w:rPr>
              <w:t>ly highlight the main issues for them as being the financial impact of caring, short breaks and the requirement of support to help them maintain their own health and wellbeing</w:t>
            </w:r>
          </w:p>
          <w:p w:rsidR="00B45DB9" w:rsidRDefault="00B45DB9" w:rsidP="00B45DB9">
            <w:pPr>
              <w:pStyle w:val="ListBullet"/>
              <w:numPr>
                <w:ilvl w:val="0"/>
                <w:numId w:val="12"/>
              </w:numPr>
              <w:tabs>
                <w:tab w:val="left" w:pos="720"/>
              </w:tabs>
              <w:rPr>
                <w:rFonts w:ascii="Arial" w:hAnsi="Arial" w:cs="Arial"/>
                <w:sz w:val="22"/>
                <w:szCs w:val="22"/>
              </w:rPr>
            </w:pPr>
            <w:r>
              <w:rPr>
                <w:rFonts w:ascii="Arial" w:hAnsi="Arial" w:cs="Arial"/>
                <w:sz w:val="22"/>
                <w:szCs w:val="22"/>
              </w:rPr>
              <w:t>As at the last Hea</w:t>
            </w:r>
            <w:r w:rsidR="008103F0">
              <w:rPr>
                <w:rFonts w:ascii="Arial" w:hAnsi="Arial" w:cs="Arial"/>
                <w:sz w:val="22"/>
                <w:szCs w:val="22"/>
              </w:rPr>
              <w:t>lth and Social Care Experience S</w:t>
            </w:r>
            <w:r>
              <w:rPr>
                <w:rFonts w:ascii="Arial" w:hAnsi="Arial" w:cs="Arial"/>
                <w:sz w:val="22"/>
                <w:szCs w:val="22"/>
              </w:rPr>
              <w:t>urvey in 2015/16, 42% of carers felt supported in the</w:t>
            </w:r>
            <w:r w:rsidR="008103F0">
              <w:rPr>
                <w:rFonts w:ascii="Arial" w:hAnsi="Arial" w:cs="Arial"/>
                <w:sz w:val="22"/>
                <w:szCs w:val="22"/>
              </w:rPr>
              <w:t>ir</w:t>
            </w:r>
            <w:r>
              <w:rPr>
                <w:rFonts w:ascii="Arial" w:hAnsi="Arial" w:cs="Arial"/>
                <w:sz w:val="22"/>
                <w:szCs w:val="22"/>
              </w:rPr>
              <w:t xml:space="preserve"> caring role.  This figure was a drop in the previous reported figure of 47% in 2013/14</w:t>
            </w:r>
            <w:r w:rsidR="008103F0">
              <w:rPr>
                <w:rFonts w:ascii="Arial" w:hAnsi="Arial" w:cs="Arial"/>
                <w:sz w:val="22"/>
                <w:szCs w:val="22"/>
              </w:rPr>
              <w:t>.</w:t>
            </w:r>
          </w:p>
          <w:p w:rsidR="00B45DB9" w:rsidRPr="00C82AE0" w:rsidRDefault="00B45DB9" w:rsidP="00B45DB9">
            <w:pPr>
              <w:pStyle w:val="ListBullet"/>
              <w:numPr>
                <w:ilvl w:val="0"/>
                <w:numId w:val="0"/>
              </w:numPr>
              <w:tabs>
                <w:tab w:val="left" w:pos="720"/>
              </w:tabs>
              <w:rPr>
                <w:rFonts w:ascii="Arial" w:hAnsi="Arial" w:cs="Arial"/>
                <w:b/>
                <w:sz w:val="22"/>
                <w:szCs w:val="22"/>
              </w:rPr>
            </w:pPr>
          </w:p>
          <w:p w:rsidR="00B45DB9" w:rsidRDefault="00B45DB9" w:rsidP="00B45DB9">
            <w:pPr>
              <w:pStyle w:val="ListBullet"/>
              <w:numPr>
                <w:ilvl w:val="0"/>
                <w:numId w:val="0"/>
              </w:numPr>
              <w:tabs>
                <w:tab w:val="left" w:pos="720"/>
              </w:tabs>
              <w:rPr>
                <w:rFonts w:ascii="Arial" w:hAnsi="Arial" w:cs="Arial"/>
                <w:b/>
                <w:sz w:val="22"/>
                <w:szCs w:val="22"/>
              </w:rPr>
            </w:pPr>
            <w:r w:rsidRPr="00C82AE0">
              <w:rPr>
                <w:rFonts w:ascii="Arial" w:hAnsi="Arial" w:cs="Arial"/>
                <w:b/>
                <w:sz w:val="22"/>
                <w:szCs w:val="22"/>
              </w:rPr>
              <w:t>Drivers:</w:t>
            </w:r>
            <w:r>
              <w:rPr>
                <w:rFonts w:ascii="Arial" w:hAnsi="Arial" w:cs="Arial"/>
                <w:b/>
                <w:sz w:val="22"/>
                <w:szCs w:val="22"/>
              </w:rPr>
              <w:t xml:space="preserve"> </w:t>
            </w:r>
            <w:r w:rsidRPr="00B81EFC">
              <w:rPr>
                <w:rFonts w:ascii="Arial" w:hAnsi="Arial" w:cs="Arial"/>
                <w:sz w:val="22"/>
                <w:szCs w:val="22"/>
              </w:rPr>
              <w:t>Carers (Scotland) Act 2016</w:t>
            </w:r>
            <w:r>
              <w:rPr>
                <w:rFonts w:ascii="Arial" w:hAnsi="Arial" w:cs="Arial"/>
                <w:sz w:val="22"/>
                <w:szCs w:val="22"/>
              </w:rPr>
              <w:t xml:space="preserve"> and national and local recognition of the value and partnership that we have with carers.  Increased statutory duties and requirement to produce a Carers Strategy for the Partnership</w:t>
            </w:r>
            <w:r w:rsidR="00163BBF">
              <w:rPr>
                <w:rFonts w:ascii="Arial" w:hAnsi="Arial" w:cs="Arial"/>
                <w:sz w:val="22"/>
                <w:szCs w:val="22"/>
              </w:rPr>
              <w:t>.</w:t>
            </w:r>
          </w:p>
          <w:p w:rsidR="00163BBF" w:rsidRPr="00C82AE0" w:rsidRDefault="00163BBF" w:rsidP="00B45DB9">
            <w:pPr>
              <w:pStyle w:val="ListBullet"/>
              <w:numPr>
                <w:ilvl w:val="0"/>
                <w:numId w:val="0"/>
              </w:numPr>
              <w:tabs>
                <w:tab w:val="left" w:pos="720"/>
              </w:tabs>
              <w:rPr>
                <w:rFonts w:ascii="Arial" w:hAnsi="Arial" w:cs="Arial"/>
                <w:b/>
                <w:sz w:val="22"/>
                <w:szCs w:val="22"/>
              </w:rPr>
            </w:pPr>
          </w:p>
        </w:tc>
      </w:tr>
    </w:tbl>
    <w:p w:rsidR="008103F0" w:rsidRDefault="008103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962"/>
        <w:gridCol w:w="2043"/>
        <w:gridCol w:w="1827"/>
        <w:gridCol w:w="1872"/>
        <w:gridCol w:w="1850"/>
      </w:tblGrid>
      <w:tr w:rsidR="00B45DB9" w:rsidRPr="00773970" w:rsidTr="00E32EBC">
        <w:trPr>
          <w:trHeight w:val="344"/>
        </w:trPr>
        <w:tc>
          <w:tcPr>
            <w:tcW w:w="14174" w:type="dxa"/>
            <w:gridSpan w:val="6"/>
            <w:tcBorders>
              <w:top w:val="single" w:sz="4" w:space="0" w:color="auto"/>
              <w:left w:val="single" w:sz="4" w:space="0" w:color="auto"/>
              <w:bottom w:val="single" w:sz="4" w:space="0" w:color="auto"/>
              <w:right w:val="single" w:sz="4" w:space="0" w:color="auto"/>
            </w:tcBorders>
            <w:shd w:val="clear" w:color="auto" w:fill="E5DFEC"/>
          </w:tcPr>
          <w:p w:rsidR="00B45DB9" w:rsidRPr="00C82AE0" w:rsidRDefault="00B45DB9" w:rsidP="00B45DB9">
            <w:pPr>
              <w:pStyle w:val="ListBullet"/>
              <w:numPr>
                <w:ilvl w:val="0"/>
                <w:numId w:val="0"/>
              </w:numPr>
              <w:tabs>
                <w:tab w:val="left" w:pos="720"/>
              </w:tabs>
              <w:rPr>
                <w:rFonts w:ascii="Arial" w:hAnsi="Arial" w:cs="Arial"/>
                <w:b/>
                <w:sz w:val="22"/>
                <w:szCs w:val="22"/>
              </w:rPr>
            </w:pPr>
            <w:r w:rsidRPr="00C82AE0">
              <w:rPr>
                <w:rFonts w:ascii="Arial" w:hAnsi="Arial" w:cs="Arial"/>
                <w:b/>
                <w:sz w:val="22"/>
                <w:szCs w:val="22"/>
              </w:rPr>
              <w:t>We will measure progress towards this priority outcome with reference to the following indicators and targets</w:t>
            </w:r>
          </w:p>
        </w:tc>
      </w:tr>
      <w:tr w:rsidR="00754A29" w:rsidRPr="000A2276" w:rsidTr="00754A29">
        <w:tc>
          <w:tcPr>
            <w:tcW w:w="450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54A29" w:rsidRPr="00C82AE0" w:rsidRDefault="00754A29" w:rsidP="00B45DB9">
            <w:pPr>
              <w:pStyle w:val="ListBullet"/>
              <w:numPr>
                <w:ilvl w:val="0"/>
                <w:numId w:val="0"/>
              </w:numPr>
              <w:tabs>
                <w:tab w:val="left" w:pos="720"/>
              </w:tabs>
              <w:spacing w:line="276" w:lineRule="auto"/>
              <w:jc w:val="center"/>
              <w:rPr>
                <w:rFonts w:ascii="Arial" w:hAnsi="Arial" w:cs="Arial"/>
                <w:b/>
                <w:sz w:val="22"/>
                <w:szCs w:val="22"/>
              </w:rPr>
            </w:pPr>
            <w:r w:rsidRPr="00C82AE0">
              <w:rPr>
                <w:rFonts w:ascii="Arial" w:hAnsi="Arial" w:cs="Arial"/>
                <w:b/>
                <w:sz w:val="22"/>
                <w:szCs w:val="22"/>
              </w:rPr>
              <w:t>Indicator(s) and Source</w:t>
            </w:r>
          </w:p>
        </w:tc>
        <w:tc>
          <w:tcPr>
            <w:tcW w:w="198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54A29" w:rsidRPr="00C82AE0" w:rsidRDefault="00754A29" w:rsidP="00B45DB9">
            <w:pPr>
              <w:pStyle w:val="ListBullet"/>
              <w:numPr>
                <w:ilvl w:val="0"/>
                <w:numId w:val="0"/>
              </w:numPr>
              <w:tabs>
                <w:tab w:val="left" w:pos="720"/>
              </w:tabs>
              <w:spacing w:line="276" w:lineRule="auto"/>
              <w:jc w:val="center"/>
              <w:rPr>
                <w:rFonts w:ascii="Arial" w:hAnsi="Arial" w:cs="Arial"/>
                <w:b/>
                <w:sz w:val="22"/>
                <w:szCs w:val="22"/>
              </w:rPr>
            </w:pPr>
            <w:r w:rsidRPr="00C82AE0">
              <w:rPr>
                <w:rFonts w:ascii="Arial" w:hAnsi="Arial" w:cs="Arial"/>
                <w:b/>
                <w:sz w:val="22"/>
                <w:szCs w:val="22"/>
              </w:rPr>
              <w:t>Baseline</w:t>
            </w:r>
          </w:p>
        </w:tc>
        <w:tc>
          <w:tcPr>
            <w:tcW w:w="2075" w:type="dxa"/>
            <w:tcBorders>
              <w:top w:val="single" w:sz="4" w:space="0" w:color="auto"/>
              <w:left w:val="single" w:sz="4" w:space="0" w:color="auto"/>
              <w:right w:val="single" w:sz="4" w:space="0" w:color="auto"/>
            </w:tcBorders>
            <w:shd w:val="clear" w:color="auto" w:fill="D6E3BC" w:themeFill="accent3" w:themeFillTint="66"/>
          </w:tcPr>
          <w:p w:rsidR="00754A29" w:rsidRPr="00C82AE0" w:rsidRDefault="00754A29" w:rsidP="00B45DB9">
            <w:pPr>
              <w:pStyle w:val="ListBullet"/>
              <w:numPr>
                <w:ilvl w:val="0"/>
                <w:numId w:val="0"/>
              </w:numPr>
              <w:tabs>
                <w:tab w:val="left" w:pos="720"/>
              </w:tabs>
              <w:spacing w:line="276" w:lineRule="auto"/>
              <w:jc w:val="center"/>
              <w:rPr>
                <w:rFonts w:ascii="Arial" w:hAnsi="Arial" w:cs="Arial"/>
                <w:b/>
                <w:sz w:val="22"/>
                <w:szCs w:val="22"/>
              </w:rPr>
            </w:pPr>
            <w:r w:rsidRPr="00C82AE0">
              <w:rPr>
                <w:rFonts w:ascii="Arial" w:hAnsi="Arial" w:cs="Arial"/>
                <w:b/>
                <w:sz w:val="22"/>
                <w:szCs w:val="22"/>
              </w:rPr>
              <w:t>Latest figures reported</w:t>
            </w:r>
          </w:p>
        </w:tc>
        <w:tc>
          <w:tcPr>
            <w:tcW w:w="1847" w:type="dxa"/>
            <w:tcBorders>
              <w:top w:val="single" w:sz="4" w:space="0" w:color="auto"/>
              <w:left w:val="single" w:sz="4" w:space="0" w:color="auto"/>
              <w:right w:val="single" w:sz="4" w:space="0" w:color="auto"/>
            </w:tcBorders>
            <w:shd w:val="clear" w:color="auto" w:fill="D6E3BC" w:themeFill="accent3" w:themeFillTint="66"/>
          </w:tcPr>
          <w:p w:rsidR="00754A29" w:rsidRPr="00C82AE0" w:rsidRDefault="00754A29" w:rsidP="00B45DB9">
            <w:pPr>
              <w:pStyle w:val="ListBullet"/>
              <w:numPr>
                <w:ilvl w:val="0"/>
                <w:numId w:val="0"/>
              </w:numPr>
              <w:tabs>
                <w:tab w:val="left" w:pos="720"/>
              </w:tabs>
              <w:spacing w:line="276" w:lineRule="auto"/>
              <w:jc w:val="center"/>
              <w:rPr>
                <w:rFonts w:ascii="Arial" w:hAnsi="Arial" w:cs="Arial"/>
                <w:b/>
                <w:sz w:val="22"/>
                <w:szCs w:val="22"/>
              </w:rPr>
            </w:pPr>
            <w:r w:rsidRPr="00C82AE0">
              <w:rPr>
                <w:rFonts w:ascii="Arial" w:hAnsi="Arial" w:cs="Arial"/>
                <w:b/>
                <w:sz w:val="22"/>
                <w:szCs w:val="22"/>
              </w:rPr>
              <w:t>Short Term Target (1 year)</w:t>
            </w:r>
          </w:p>
        </w:tc>
        <w:tc>
          <w:tcPr>
            <w:tcW w:w="1894" w:type="dxa"/>
            <w:tcBorders>
              <w:top w:val="single" w:sz="4" w:space="0" w:color="auto"/>
              <w:left w:val="single" w:sz="4" w:space="0" w:color="auto"/>
              <w:right w:val="single" w:sz="4" w:space="0" w:color="auto"/>
            </w:tcBorders>
            <w:shd w:val="clear" w:color="auto" w:fill="D6E3BC" w:themeFill="accent3" w:themeFillTint="66"/>
          </w:tcPr>
          <w:p w:rsidR="00754A29" w:rsidRPr="00C82AE0" w:rsidRDefault="00754A29" w:rsidP="00B45DB9">
            <w:pPr>
              <w:pStyle w:val="ListBullet"/>
              <w:numPr>
                <w:ilvl w:val="0"/>
                <w:numId w:val="0"/>
              </w:numPr>
              <w:tabs>
                <w:tab w:val="left" w:pos="720"/>
              </w:tabs>
              <w:spacing w:line="276" w:lineRule="auto"/>
              <w:jc w:val="center"/>
              <w:rPr>
                <w:rFonts w:ascii="Arial" w:hAnsi="Arial" w:cs="Arial"/>
                <w:b/>
                <w:sz w:val="22"/>
                <w:szCs w:val="22"/>
              </w:rPr>
            </w:pPr>
            <w:r w:rsidRPr="00C82AE0">
              <w:rPr>
                <w:rFonts w:ascii="Arial" w:hAnsi="Arial" w:cs="Arial"/>
                <w:b/>
                <w:sz w:val="22"/>
                <w:szCs w:val="22"/>
              </w:rPr>
              <w:t>Medium Term Target (3yr)</w:t>
            </w:r>
          </w:p>
        </w:tc>
        <w:tc>
          <w:tcPr>
            <w:tcW w:w="18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754A29" w:rsidRPr="00C82AE0" w:rsidRDefault="00754A29" w:rsidP="00B45DB9">
            <w:pPr>
              <w:pStyle w:val="ListBullet"/>
              <w:numPr>
                <w:ilvl w:val="0"/>
                <w:numId w:val="0"/>
              </w:numPr>
              <w:tabs>
                <w:tab w:val="left" w:pos="720"/>
              </w:tabs>
              <w:spacing w:line="276" w:lineRule="auto"/>
              <w:jc w:val="center"/>
              <w:rPr>
                <w:rFonts w:ascii="Arial" w:hAnsi="Arial" w:cs="Arial"/>
                <w:b/>
                <w:sz w:val="22"/>
                <w:szCs w:val="22"/>
              </w:rPr>
            </w:pPr>
            <w:r w:rsidRPr="00C82AE0">
              <w:rPr>
                <w:rFonts w:ascii="Arial" w:hAnsi="Arial" w:cs="Arial"/>
                <w:b/>
                <w:sz w:val="22"/>
                <w:szCs w:val="22"/>
              </w:rPr>
              <w:t>Long Term Target</w:t>
            </w:r>
          </w:p>
          <w:p w:rsidR="00754A29" w:rsidRPr="00C82AE0" w:rsidRDefault="00754A29" w:rsidP="00B45DB9">
            <w:pPr>
              <w:pStyle w:val="ListBullet"/>
              <w:numPr>
                <w:ilvl w:val="0"/>
                <w:numId w:val="0"/>
              </w:numPr>
              <w:tabs>
                <w:tab w:val="left" w:pos="720"/>
              </w:tabs>
              <w:spacing w:line="276" w:lineRule="auto"/>
              <w:jc w:val="center"/>
              <w:rPr>
                <w:rFonts w:ascii="Arial" w:hAnsi="Arial" w:cs="Arial"/>
                <w:b/>
                <w:sz w:val="22"/>
                <w:szCs w:val="22"/>
              </w:rPr>
            </w:pPr>
            <w:r w:rsidRPr="00C82AE0">
              <w:rPr>
                <w:rFonts w:ascii="Arial" w:hAnsi="Arial" w:cs="Arial"/>
                <w:b/>
                <w:sz w:val="22"/>
                <w:szCs w:val="22"/>
              </w:rPr>
              <w:t>(10yr)</w:t>
            </w:r>
          </w:p>
        </w:tc>
      </w:tr>
      <w:tr w:rsidR="00563807" w:rsidRPr="000A2276" w:rsidTr="00754A29">
        <w:trPr>
          <w:trHeight w:val="525"/>
        </w:trPr>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563807" w:rsidRPr="00C2574F" w:rsidRDefault="00563807" w:rsidP="00B45DB9">
            <w:pPr>
              <w:pStyle w:val="ListBullet"/>
              <w:numPr>
                <w:ilvl w:val="0"/>
                <w:numId w:val="0"/>
              </w:numPr>
              <w:tabs>
                <w:tab w:val="left" w:pos="720"/>
              </w:tabs>
              <w:rPr>
                <w:rFonts w:ascii="Arial" w:hAnsi="Arial" w:cs="Arial"/>
                <w:sz w:val="22"/>
                <w:szCs w:val="22"/>
              </w:rPr>
            </w:pPr>
            <w:r w:rsidRPr="00163BBF">
              <w:rPr>
                <w:rFonts w:ascii="Arial" w:hAnsi="Arial" w:cs="Arial"/>
                <w:b/>
                <w:sz w:val="22"/>
                <w:szCs w:val="22"/>
              </w:rPr>
              <w:t>Increase</w:t>
            </w:r>
            <w:r w:rsidRPr="00C2574F">
              <w:rPr>
                <w:rFonts w:ascii="Arial" w:hAnsi="Arial" w:cs="Arial"/>
                <w:sz w:val="22"/>
                <w:szCs w:val="22"/>
              </w:rPr>
              <w:t xml:space="preserve"> the number of new carers identified and s</w:t>
            </w:r>
            <w:r w:rsidR="008103F0">
              <w:rPr>
                <w:rFonts w:ascii="Arial" w:hAnsi="Arial" w:cs="Arial"/>
                <w:sz w:val="22"/>
                <w:szCs w:val="22"/>
              </w:rPr>
              <w:t>upported each year through the Third S</w:t>
            </w:r>
            <w:r w:rsidRPr="00C2574F">
              <w:rPr>
                <w:rFonts w:ascii="Arial" w:hAnsi="Arial" w:cs="Arial"/>
                <w:sz w:val="22"/>
                <w:szCs w:val="22"/>
              </w:rPr>
              <w:t>ector</w:t>
            </w:r>
          </w:p>
          <w:p w:rsidR="00563807" w:rsidRPr="00C2574F" w:rsidRDefault="00563807" w:rsidP="00B45DB9">
            <w:pPr>
              <w:pStyle w:val="ListBullet"/>
              <w:numPr>
                <w:ilvl w:val="0"/>
                <w:numId w:val="0"/>
              </w:numPr>
              <w:tabs>
                <w:tab w:val="left" w:pos="720"/>
              </w:tabs>
              <w:rPr>
                <w:rFonts w:ascii="Arial" w:hAnsi="Arial" w:cs="Arial"/>
                <w:sz w:val="22"/>
                <w:szCs w:val="22"/>
              </w:rPr>
            </w:pPr>
          </w:p>
          <w:p w:rsidR="00563807" w:rsidRPr="00C2574F" w:rsidRDefault="00563807" w:rsidP="005D12D2">
            <w:pPr>
              <w:pStyle w:val="ListBullet"/>
              <w:numPr>
                <w:ilvl w:val="0"/>
                <w:numId w:val="0"/>
              </w:numPr>
              <w:tabs>
                <w:tab w:val="left" w:pos="720"/>
              </w:tabs>
              <w:rPr>
                <w:rFonts w:ascii="Arial" w:hAnsi="Arial" w:cs="Arial"/>
                <w:sz w:val="22"/>
                <w:szCs w:val="22"/>
              </w:rPr>
            </w:pPr>
            <w:r w:rsidRPr="00C2574F">
              <w:rPr>
                <w:rFonts w:ascii="Arial" w:hAnsi="Arial" w:cs="Arial"/>
                <w:b/>
                <w:sz w:val="22"/>
                <w:szCs w:val="22"/>
              </w:rPr>
              <w:t>Source: Carers Report</w:t>
            </w:r>
          </w:p>
        </w:tc>
        <w:tc>
          <w:tcPr>
            <w:tcW w:w="1984" w:type="dxa"/>
            <w:tcBorders>
              <w:top w:val="single" w:sz="4" w:space="0" w:color="auto"/>
              <w:left w:val="single" w:sz="4" w:space="0" w:color="auto"/>
              <w:bottom w:val="single" w:sz="4" w:space="0" w:color="auto"/>
              <w:right w:val="single" w:sz="4" w:space="0" w:color="auto"/>
            </w:tcBorders>
          </w:tcPr>
          <w:p w:rsidR="00563807" w:rsidRDefault="00563807" w:rsidP="00A660D4">
            <w:pPr>
              <w:pStyle w:val="ListBullet"/>
              <w:numPr>
                <w:ilvl w:val="0"/>
                <w:numId w:val="0"/>
              </w:numPr>
              <w:tabs>
                <w:tab w:val="left" w:pos="720"/>
              </w:tabs>
              <w:jc w:val="center"/>
              <w:rPr>
                <w:rFonts w:ascii="Arial" w:hAnsi="Arial" w:cs="Arial"/>
                <w:sz w:val="22"/>
                <w:szCs w:val="22"/>
              </w:rPr>
            </w:pPr>
            <w:r>
              <w:rPr>
                <w:rFonts w:ascii="Arial" w:hAnsi="Arial" w:cs="Arial"/>
                <w:sz w:val="22"/>
                <w:szCs w:val="22"/>
              </w:rPr>
              <w:t>(2017)</w:t>
            </w:r>
          </w:p>
          <w:p w:rsidR="00A660D4" w:rsidRDefault="00A660D4" w:rsidP="00A660D4">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2,845 </w:t>
            </w:r>
          </w:p>
          <w:p w:rsidR="00A660D4" w:rsidRPr="00C2574F" w:rsidRDefault="00A660D4" w:rsidP="00691D71">
            <w:pPr>
              <w:pStyle w:val="ListBullet"/>
              <w:numPr>
                <w:ilvl w:val="0"/>
                <w:numId w:val="0"/>
              </w:numPr>
              <w:tabs>
                <w:tab w:val="left" w:pos="720"/>
              </w:tabs>
              <w:jc w:val="center"/>
              <w:rPr>
                <w:rFonts w:ascii="Arial" w:hAnsi="Arial" w:cs="Arial"/>
                <w:sz w:val="22"/>
                <w:szCs w:val="22"/>
              </w:rPr>
            </w:pPr>
          </w:p>
        </w:tc>
        <w:tc>
          <w:tcPr>
            <w:tcW w:w="2075" w:type="dxa"/>
            <w:tcBorders>
              <w:left w:val="single" w:sz="4" w:space="0" w:color="auto"/>
              <w:right w:val="single" w:sz="4" w:space="0" w:color="auto"/>
            </w:tcBorders>
          </w:tcPr>
          <w:p w:rsidR="00563807" w:rsidRDefault="00A660D4" w:rsidP="00563807">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 </w:t>
            </w:r>
            <w:r w:rsidR="00DF33AF">
              <w:rPr>
                <w:rFonts w:ascii="Arial" w:hAnsi="Arial" w:cs="Arial"/>
                <w:sz w:val="22"/>
                <w:szCs w:val="22"/>
              </w:rPr>
              <w:t>(2018</w:t>
            </w:r>
            <w:r w:rsidR="00563807">
              <w:rPr>
                <w:rFonts w:ascii="Arial" w:hAnsi="Arial" w:cs="Arial"/>
                <w:sz w:val="22"/>
                <w:szCs w:val="22"/>
              </w:rPr>
              <w:t>)</w:t>
            </w:r>
          </w:p>
          <w:p w:rsidR="00A660D4" w:rsidRDefault="00DF33AF" w:rsidP="00A660D4">
            <w:pPr>
              <w:pStyle w:val="ListBullet"/>
              <w:numPr>
                <w:ilvl w:val="0"/>
                <w:numId w:val="0"/>
              </w:numPr>
              <w:tabs>
                <w:tab w:val="left" w:pos="720"/>
              </w:tabs>
              <w:jc w:val="center"/>
              <w:rPr>
                <w:rFonts w:ascii="Arial" w:hAnsi="Arial" w:cs="Arial"/>
                <w:sz w:val="22"/>
                <w:szCs w:val="22"/>
              </w:rPr>
            </w:pPr>
            <w:r>
              <w:rPr>
                <w:rFonts w:ascii="Arial" w:hAnsi="Arial" w:cs="Arial"/>
                <w:sz w:val="22"/>
                <w:szCs w:val="22"/>
              </w:rPr>
              <w:t>3,460</w:t>
            </w:r>
          </w:p>
          <w:p w:rsidR="00A660D4" w:rsidRPr="00C2574F" w:rsidRDefault="00A660D4" w:rsidP="00563807">
            <w:pPr>
              <w:pStyle w:val="ListBullet"/>
              <w:numPr>
                <w:ilvl w:val="0"/>
                <w:numId w:val="0"/>
              </w:numPr>
              <w:tabs>
                <w:tab w:val="left" w:pos="720"/>
              </w:tabs>
              <w:jc w:val="center"/>
              <w:rPr>
                <w:rFonts w:ascii="Arial" w:hAnsi="Arial" w:cs="Arial"/>
                <w:sz w:val="22"/>
                <w:szCs w:val="22"/>
              </w:rPr>
            </w:pPr>
          </w:p>
        </w:tc>
        <w:tc>
          <w:tcPr>
            <w:tcW w:w="1847" w:type="dxa"/>
            <w:tcBorders>
              <w:left w:val="single" w:sz="4" w:space="0" w:color="auto"/>
              <w:right w:val="single" w:sz="4" w:space="0" w:color="auto"/>
            </w:tcBorders>
          </w:tcPr>
          <w:p w:rsidR="00563807" w:rsidRPr="00C2574F" w:rsidRDefault="00563807" w:rsidP="00B45DB9">
            <w:pPr>
              <w:pStyle w:val="ListBullet"/>
              <w:numPr>
                <w:ilvl w:val="0"/>
                <w:numId w:val="0"/>
              </w:numPr>
              <w:tabs>
                <w:tab w:val="left" w:pos="720"/>
              </w:tabs>
              <w:jc w:val="center"/>
              <w:rPr>
                <w:rFonts w:ascii="Arial" w:hAnsi="Arial" w:cs="Arial"/>
                <w:sz w:val="22"/>
                <w:szCs w:val="22"/>
              </w:rPr>
            </w:pPr>
            <w:r w:rsidRPr="00C2574F">
              <w:rPr>
                <w:rFonts w:ascii="Arial" w:hAnsi="Arial" w:cs="Arial"/>
                <w:sz w:val="22"/>
                <w:szCs w:val="22"/>
              </w:rPr>
              <w:t>Maintain</w:t>
            </w:r>
          </w:p>
        </w:tc>
        <w:tc>
          <w:tcPr>
            <w:tcW w:w="1894" w:type="dxa"/>
            <w:tcBorders>
              <w:left w:val="single" w:sz="4" w:space="0" w:color="auto"/>
              <w:right w:val="single" w:sz="4" w:space="0" w:color="auto"/>
            </w:tcBorders>
          </w:tcPr>
          <w:p w:rsidR="00563807" w:rsidRPr="00C2574F" w:rsidRDefault="00563807"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Increase</w:t>
            </w:r>
          </w:p>
        </w:tc>
        <w:tc>
          <w:tcPr>
            <w:tcW w:w="1871" w:type="dxa"/>
            <w:tcBorders>
              <w:top w:val="single" w:sz="4" w:space="0" w:color="auto"/>
              <w:left w:val="single" w:sz="4" w:space="0" w:color="auto"/>
              <w:bottom w:val="single" w:sz="4" w:space="0" w:color="auto"/>
              <w:right w:val="single" w:sz="4" w:space="0" w:color="auto"/>
            </w:tcBorders>
          </w:tcPr>
          <w:p w:rsidR="00563807" w:rsidRPr="00C2574F" w:rsidRDefault="00563807"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Increase</w:t>
            </w:r>
          </w:p>
        </w:tc>
      </w:tr>
      <w:tr w:rsidR="00563807" w:rsidRPr="000A2276" w:rsidTr="00754A29">
        <w:trPr>
          <w:trHeight w:val="525"/>
        </w:trPr>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563807" w:rsidRPr="00893157" w:rsidRDefault="00893157" w:rsidP="00B45DB9">
            <w:pPr>
              <w:pStyle w:val="ListBullet"/>
              <w:numPr>
                <w:ilvl w:val="0"/>
                <w:numId w:val="0"/>
              </w:numPr>
              <w:tabs>
                <w:tab w:val="left" w:pos="720"/>
              </w:tabs>
              <w:rPr>
                <w:rFonts w:ascii="Arial" w:hAnsi="Arial" w:cs="Arial"/>
                <w:sz w:val="22"/>
                <w:szCs w:val="22"/>
              </w:rPr>
            </w:pPr>
            <w:r w:rsidRPr="00893157">
              <w:rPr>
                <w:rFonts w:ascii="Arial" w:hAnsi="Arial" w:cs="Arial"/>
                <w:sz w:val="22"/>
                <w:szCs w:val="22"/>
              </w:rPr>
              <w:t>Monitor</w:t>
            </w:r>
            <w:r w:rsidR="005B64EB" w:rsidRPr="00893157">
              <w:rPr>
                <w:rFonts w:ascii="Arial" w:hAnsi="Arial" w:cs="Arial"/>
                <w:sz w:val="22"/>
                <w:szCs w:val="22"/>
              </w:rPr>
              <w:t xml:space="preserve"> the </w:t>
            </w:r>
            <w:r>
              <w:rPr>
                <w:rFonts w:ascii="Arial" w:hAnsi="Arial" w:cs="Arial"/>
                <w:sz w:val="22"/>
                <w:szCs w:val="22"/>
              </w:rPr>
              <w:t>number</w:t>
            </w:r>
            <w:r w:rsidR="00563807" w:rsidRPr="00893157">
              <w:rPr>
                <w:rFonts w:ascii="Arial" w:hAnsi="Arial" w:cs="Arial"/>
                <w:sz w:val="22"/>
                <w:szCs w:val="22"/>
              </w:rPr>
              <w:t xml:space="preserve"> of people providing 20 to 49 hours </w:t>
            </w:r>
            <w:r w:rsidR="008D00B7">
              <w:rPr>
                <w:rFonts w:ascii="Arial" w:hAnsi="Arial" w:cs="Arial"/>
                <w:sz w:val="22"/>
                <w:szCs w:val="22"/>
              </w:rPr>
              <w:t xml:space="preserve">of </w:t>
            </w:r>
            <w:r w:rsidR="00563807" w:rsidRPr="00893157">
              <w:rPr>
                <w:rFonts w:ascii="Arial" w:hAnsi="Arial" w:cs="Arial"/>
                <w:sz w:val="22"/>
                <w:szCs w:val="22"/>
              </w:rPr>
              <w:t>care per week</w:t>
            </w:r>
          </w:p>
          <w:p w:rsidR="00563807" w:rsidRPr="00893157" w:rsidRDefault="00563807" w:rsidP="00B45DB9">
            <w:pPr>
              <w:pStyle w:val="ListBullet"/>
              <w:numPr>
                <w:ilvl w:val="0"/>
                <w:numId w:val="0"/>
              </w:numPr>
              <w:tabs>
                <w:tab w:val="left" w:pos="720"/>
              </w:tabs>
              <w:rPr>
                <w:rFonts w:ascii="Arial" w:hAnsi="Arial" w:cs="Arial"/>
                <w:sz w:val="22"/>
                <w:szCs w:val="22"/>
              </w:rPr>
            </w:pPr>
          </w:p>
          <w:p w:rsidR="00563807" w:rsidRPr="00893157" w:rsidRDefault="00563807" w:rsidP="00B45DB9">
            <w:pPr>
              <w:pStyle w:val="ListBullet"/>
              <w:numPr>
                <w:ilvl w:val="0"/>
                <w:numId w:val="0"/>
              </w:numPr>
              <w:tabs>
                <w:tab w:val="left" w:pos="720"/>
              </w:tabs>
              <w:rPr>
                <w:rFonts w:ascii="Arial" w:hAnsi="Arial" w:cs="Arial"/>
                <w:sz w:val="22"/>
                <w:szCs w:val="22"/>
              </w:rPr>
            </w:pPr>
            <w:r w:rsidRPr="00893157">
              <w:rPr>
                <w:rFonts w:ascii="Arial" w:hAnsi="Arial" w:cs="Arial"/>
                <w:b/>
                <w:sz w:val="22"/>
                <w:szCs w:val="22"/>
              </w:rPr>
              <w:t>Source: NRS (Nexus)</w:t>
            </w:r>
          </w:p>
        </w:tc>
        <w:tc>
          <w:tcPr>
            <w:tcW w:w="1984" w:type="dxa"/>
            <w:tcBorders>
              <w:top w:val="single" w:sz="4" w:space="0" w:color="auto"/>
              <w:left w:val="single" w:sz="4" w:space="0" w:color="auto"/>
              <w:bottom w:val="single" w:sz="4" w:space="0" w:color="auto"/>
              <w:right w:val="single" w:sz="4" w:space="0" w:color="auto"/>
            </w:tcBorders>
          </w:tcPr>
          <w:p w:rsidR="00563807" w:rsidRDefault="00A660D4" w:rsidP="00691D71">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 xml:space="preserve"> </w:t>
            </w:r>
            <w:r w:rsidR="00563807" w:rsidRPr="00893157">
              <w:rPr>
                <w:rFonts w:ascii="Arial" w:hAnsi="Arial" w:cs="Arial"/>
                <w:sz w:val="22"/>
                <w:szCs w:val="22"/>
              </w:rPr>
              <w:t>(2011)</w:t>
            </w:r>
          </w:p>
          <w:p w:rsidR="00A660D4" w:rsidRDefault="00A660D4" w:rsidP="00A660D4">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 xml:space="preserve">5,785 </w:t>
            </w:r>
          </w:p>
          <w:p w:rsidR="00A660D4" w:rsidRPr="00893157" w:rsidRDefault="00A660D4" w:rsidP="00691D71">
            <w:pPr>
              <w:pStyle w:val="ListBullet"/>
              <w:numPr>
                <w:ilvl w:val="0"/>
                <w:numId w:val="0"/>
              </w:numPr>
              <w:tabs>
                <w:tab w:val="left" w:pos="720"/>
              </w:tabs>
              <w:jc w:val="center"/>
              <w:rPr>
                <w:rFonts w:ascii="Arial" w:hAnsi="Arial" w:cs="Arial"/>
                <w:sz w:val="22"/>
                <w:szCs w:val="22"/>
              </w:rPr>
            </w:pPr>
          </w:p>
        </w:tc>
        <w:tc>
          <w:tcPr>
            <w:tcW w:w="2075" w:type="dxa"/>
            <w:tcBorders>
              <w:left w:val="single" w:sz="4" w:space="0" w:color="auto"/>
              <w:right w:val="single" w:sz="4" w:space="0" w:color="auto"/>
            </w:tcBorders>
          </w:tcPr>
          <w:p w:rsidR="00563807" w:rsidRDefault="00A660D4" w:rsidP="00B45DB9">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 xml:space="preserve"> </w:t>
            </w:r>
            <w:r w:rsidR="00563807" w:rsidRPr="00893157">
              <w:rPr>
                <w:rFonts w:ascii="Arial" w:hAnsi="Arial" w:cs="Arial"/>
                <w:sz w:val="22"/>
                <w:szCs w:val="22"/>
              </w:rPr>
              <w:t>(2011)</w:t>
            </w:r>
          </w:p>
          <w:p w:rsidR="00A660D4" w:rsidRDefault="00A660D4" w:rsidP="00A660D4">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 xml:space="preserve">5,785 </w:t>
            </w:r>
          </w:p>
          <w:p w:rsidR="00A660D4" w:rsidRPr="00893157" w:rsidRDefault="00A660D4" w:rsidP="00B45DB9">
            <w:pPr>
              <w:pStyle w:val="ListBullet"/>
              <w:numPr>
                <w:ilvl w:val="0"/>
                <w:numId w:val="0"/>
              </w:numPr>
              <w:tabs>
                <w:tab w:val="left" w:pos="720"/>
              </w:tabs>
              <w:jc w:val="center"/>
              <w:rPr>
                <w:rFonts w:ascii="Arial" w:hAnsi="Arial" w:cs="Arial"/>
                <w:sz w:val="22"/>
                <w:szCs w:val="22"/>
              </w:rPr>
            </w:pPr>
          </w:p>
        </w:tc>
        <w:tc>
          <w:tcPr>
            <w:tcW w:w="1847" w:type="dxa"/>
            <w:tcBorders>
              <w:left w:val="single" w:sz="4" w:space="0" w:color="auto"/>
              <w:right w:val="single" w:sz="4" w:space="0" w:color="auto"/>
            </w:tcBorders>
          </w:tcPr>
          <w:p w:rsidR="00563807" w:rsidRPr="00893157" w:rsidRDefault="00563807" w:rsidP="00B45DB9">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Monitor for Contextual Purposes</w:t>
            </w:r>
          </w:p>
        </w:tc>
        <w:tc>
          <w:tcPr>
            <w:tcW w:w="1894" w:type="dxa"/>
            <w:tcBorders>
              <w:left w:val="single" w:sz="4" w:space="0" w:color="auto"/>
              <w:right w:val="single" w:sz="4" w:space="0" w:color="auto"/>
            </w:tcBorders>
          </w:tcPr>
          <w:p w:rsidR="00563807" w:rsidRPr="00893157" w:rsidRDefault="00563807" w:rsidP="00B45DB9">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Monitor for Contextual Purposes</w:t>
            </w:r>
          </w:p>
        </w:tc>
        <w:tc>
          <w:tcPr>
            <w:tcW w:w="1871" w:type="dxa"/>
            <w:tcBorders>
              <w:top w:val="single" w:sz="4" w:space="0" w:color="auto"/>
              <w:left w:val="single" w:sz="4" w:space="0" w:color="auto"/>
              <w:bottom w:val="single" w:sz="4" w:space="0" w:color="auto"/>
              <w:right w:val="single" w:sz="4" w:space="0" w:color="auto"/>
            </w:tcBorders>
          </w:tcPr>
          <w:p w:rsidR="00563807" w:rsidRPr="00893157" w:rsidRDefault="00563807" w:rsidP="00B45DB9">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Monitor for Contextual Purposes</w:t>
            </w:r>
          </w:p>
        </w:tc>
      </w:tr>
      <w:tr w:rsidR="00563807" w:rsidRPr="000A2276" w:rsidTr="00754A29">
        <w:trPr>
          <w:trHeight w:val="525"/>
        </w:trPr>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563807" w:rsidRPr="00893157" w:rsidRDefault="00893157" w:rsidP="00B45DB9">
            <w:pPr>
              <w:pStyle w:val="ListBullet"/>
              <w:numPr>
                <w:ilvl w:val="0"/>
                <w:numId w:val="0"/>
              </w:numPr>
              <w:tabs>
                <w:tab w:val="left" w:pos="720"/>
              </w:tabs>
              <w:rPr>
                <w:rFonts w:ascii="Arial" w:hAnsi="Arial" w:cs="Arial"/>
                <w:sz w:val="22"/>
                <w:szCs w:val="22"/>
              </w:rPr>
            </w:pPr>
            <w:r w:rsidRPr="00893157">
              <w:rPr>
                <w:rFonts w:ascii="Arial" w:hAnsi="Arial" w:cs="Arial"/>
                <w:sz w:val="22"/>
                <w:szCs w:val="22"/>
              </w:rPr>
              <w:t>Monitor the n</w:t>
            </w:r>
            <w:r w:rsidR="00563807" w:rsidRPr="00893157">
              <w:rPr>
                <w:rFonts w:ascii="Arial" w:hAnsi="Arial" w:cs="Arial"/>
                <w:sz w:val="22"/>
                <w:szCs w:val="22"/>
              </w:rPr>
              <w:t>umber of people providing 50+ hours of care per week</w:t>
            </w:r>
          </w:p>
          <w:p w:rsidR="00563807" w:rsidRPr="00893157" w:rsidRDefault="00563807" w:rsidP="00B45DB9">
            <w:pPr>
              <w:pStyle w:val="ListBullet"/>
              <w:numPr>
                <w:ilvl w:val="0"/>
                <w:numId w:val="0"/>
              </w:numPr>
              <w:tabs>
                <w:tab w:val="left" w:pos="720"/>
              </w:tabs>
              <w:rPr>
                <w:rFonts w:ascii="Arial" w:hAnsi="Arial" w:cs="Arial"/>
                <w:sz w:val="22"/>
                <w:szCs w:val="22"/>
              </w:rPr>
            </w:pPr>
          </w:p>
          <w:p w:rsidR="00563807" w:rsidRPr="00893157" w:rsidRDefault="00563807" w:rsidP="00B45DB9">
            <w:pPr>
              <w:pStyle w:val="ListBullet"/>
              <w:numPr>
                <w:ilvl w:val="0"/>
                <w:numId w:val="0"/>
              </w:numPr>
              <w:tabs>
                <w:tab w:val="left" w:pos="720"/>
              </w:tabs>
              <w:rPr>
                <w:rFonts w:ascii="Arial" w:hAnsi="Arial" w:cs="Arial"/>
                <w:sz w:val="22"/>
                <w:szCs w:val="22"/>
              </w:rPr>
            </w:pPr>
            <w:r w:rsidRPr="00893157">
              <w:rPr>
                <w:rFonts w:ascii="Arial" w:hAnsi="Arial" w:cs="Arial"/>
                <w:b/>
                <w:sz w:val="22"/>
                <w:szCs w:val="22"/>
              </w:rPr>
              <w:t>Source: NRS (Nexus)</w:t>
            </w:r>
          </w:p>
        </w:tc>
        <w:tc>
          <w:tcPr>
            <w:tcW w:w="1984" w:type="dxa"/>
            <w:tcBorders>
              <w:top w:val="single" w:sz="4" w:space="0" w:color="auto"/>
              <w:left w:val="single" w:sz="4" w:space="0" w:color="auto"/>
              <w:bottom w:val="single" w:sz="4" w:space="0" w:color="auto"/>
              <w:right w:val="single" w:sz="4" w:space="0" w:color="auto"/>
            </w:tcBorders>
          </w:tcPr>
          <w:p w:rsidR="00563807" w:rsidRDefault="00A660D4" w:rsidP="00691D71">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 xml:space="preserve"> </w:t>
            </w:r>
            <w:r w:rsidR="00563807" w:rsidRPr="00893157">
              <w:rPr>
                <w:rFonts w:ascii="Arial" w:hAnsi="Arial" w:cs="Arial"/>
                <w:sz w:val="22"/>
                <w:szCs w:val="22"/>
              </w:rPr>
              <w:t>(2011)</w:t>
            </w:r>
          </w:p>
          <w:p w:rsidR="00A660D4" w:rsidRDefault="00A660D4" w:rsidP="00A660D4">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 xml:space="preserve">9,030 </w:t>
            </w:r>
          </w:p>
          <w:p w:rsidR="00A660D4" w:rsidRPr="00893157" w:rsidRDefault="00A660D4" w:rsidP="00691D71">
            <w:pPr>
              <w:pStyle w:val="ListBullet"/>
              <w:numPr>
                <w:ilvl w:val="0"/>
                <w:numId w:val="0"/>
              </w:numPr>
              <w:tabs>
                <w:tab w:val="left" w:pos="720"/>
              </w:tabs>
              <w:jc w:val="center"/>
              <w:rPr>
                <w:rFonts w:ascii="Arial" w:hAnsi="Arial" w:cs="Arial"/>
                <w:sz w:val="22"/>
                <w:szCs w:val="22"/>
              </w:rPr>
            </w:pPr>
          </w:p>
        </w:tc>
        <w:tc>
          <w:tcPr>
            <w:tcW w:w="2075" w:type="dxa"/>
            <w:tcBorders>
              <w:left w:val="single" w:sz="4" w:space="0" w:color="auto"/>
              <w:right w:val="single" w:sz="4" w:space="0" w:color="auto"/>
            </w:tcBorders>
          </w:tcPr>
          <w:p w:rsidR="00563807" w:rsidRDefault="00A660D4" w:rsidP="00B45DB9">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 xml:space="preserve"> </w:t>
            </w:r>
            <w:r w:rsidR="00563807" w:rsidRPr="00893157">
              <w:rPr>
                <w:rFonts w:ascii="Arial" w:hAnsi="Arial" w:cs="Arial"/>
                <w:sz w:val="22"/>
                <w:szCs w:val="22"/>
              </w:rPr>
              <w:t>(2011)</w:t>
            </w:r>
          </w:p>
          <w:p w:rsidR="00A660D4" w:rsidRDefault="00A660D4" w:rsidP="00A660D4">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 xml:space="preserve">9,030 </w:t>
            </w:r>
          </w:p>
          <w:p w:rsidR="00A660D4" w:rsidRPr="00893157" w:rsidRDefault="00A660D4" w:rsidP="00B45DB9">
            <w:pPr>
              <w:pStyle w:val="ListBullet"/>
              <w:numPr>
                <w:ilvl w:val="0"/>
                <w:numId w:val="0"/>
              </w:numPr>
              <w:tabs>
                <w:tab w:val="left" w:pos="720"/>
              </w:tabs>
              <w:jc w:val="center"/>
              <w:rPr>
                <w:rFonts w:ascii="Arial" w:hAnsi="Arial" w:cs="Arial"/>
                <w:sz w:val="22"/>
                <w:szCs w:val="22"/>
              </w:rPr>
            </w:pPr>
          </w:p>
        </w:tc>
        <w:tc>
          <w:tcPr>
            <w:tcW w:w="1847" w:type="dxa"/>
            <w:tcBorders>
              <w:left w:val="single" w:sz="4" w:space="0" w:color="auto"/>
              <w:right w:val="single" w:sz="4" w:space="0" w:color="auto"/>
            </w:tcBorders>
          </w:tcPr>
          <w:p w:rsidR="00563807" w:rsidRPr="00893157" w:rsidRDefault="00563807" w:rsidP="00B45DB9">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Monitor for Contextual Purposes</w:t>
            </w:r>
          </w:p>
        </w:tc>
        <w:tc>
          <w:tcPr>
            <w:tcW w:w="1894" w:type="dxa"/>
            <w:tcBorders>
              <w:left w:val="single" w:sz="4" w:space="0" w:color="auto"/>
              <w:right w:val="single" w:sz="4" w:space="0" w:color="auto"/>
            </w:tcBorders>
          </w:tcPr>
          <w:p w:rsidR="00563807" w:rsidRPr="00893157" w:rsidRDefault="00563807" w:rsidP="00B45DB9">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Monitor for Contextual Purposes</w:t>
            </w:r>
          </w:p>
        </w:tc>
        <w:tc>
          <w:tcPr>
            <w:tcW w:w="1871" w:type="dxa"/>
            <w:tcBorders>
              <w:top w:val="single" w:sz="4" w:space="0" w:color="auto"/>
              <w:left w:val="single" w:sz="4" w:space="0" w:color="auto"/>
              <w:bottom w:val="single" w:sz="4" w:space="0" w:color="auto"/>
              <w:right w:val="single" w:sz="4" w:space="0" w:color="auto"/>
            </w:tcBorders>
          </w:tcPr>
          <w:p w:rsidR="00563807" w:rsidRPr="00893157" w:rsidRDefault="00563807" w:rsidP="00B45DB9">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Monitor for Contextual Purposes</w:t>
            </w:r>
          </w:p>
        </w:tc>
      </w:tr>
      <w:tr w:rsidR="00563807" w:rsidRPr="000A2276" w:rsidTr="00754A29">
        <w:trPr>
          <w:trHeight w:val="525"/>
        </w:trPr>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563807" w:rsidRDefault="00563807" w:rsidP="00B45DB9">
            <w:pPr>
              <w:pStyle w:val="ListBullet"/>
              <w:numPr>
                <w:ilvl w:val="0"/>
                <w:numId w:val="0"/>
              </w:numPr>
              <w:tabs>
                <w:tab w:val="left" w:pos="720"/>
              </w:tabs>
              <w:rPr>
                <w:rFonts w:ascii="Arial" w:hAnsi="Arial" w:cs="Arial"/>
                <w:sz w:val="22"/>
                <w:szCs w:val="22"/>
              </w:rPr>
            </w:pPr>
            <w:r w:rsidRPr="00163BBF">
              <w:rPr>
                <w:rFonts w:ascii="Arial" w:hAnsi="Arial" w:cs="Arial"/>
                <w:b/>
                <w:sz w:val="22"/>
                <w:szCs w:val="22"/>
              </w:rPr>
              <w:t>Maintain</w:t>
            </w:r>
            <w:r w:rsidR="008103F0">
              <w:rPr>
                <w:rFonts w:ascii="Arial" w:hAnsi="Arial" w:cs="Arial"/>
                <w:sz w:val="22"/>
                <w:szCs w:val="22"/>
              </w:rPr>
              <w:t xml:space="preserve"> the p</w:t>
            </w:r>
            <w:r>
              <w:rPr>
                <w:rFonts w:ascii="Arial" w:hAnsi="Arial" w:cs="Arial"/>
                <w:sz w:val="22"/>
                <w:szCs w:val="22"/>
              </w:rPr>
              <w:t>ercentage of carers who feel supported to continue in their caring role</w:t>
            </w:r>
          </w:p>
          <w:p w:rsidR="00563807" w:rsidRDefault="00563807" w:rsidP="00B45DB9">
            <w:pPr>
              <w:pStyle w:val="ListBullet"/>
              <w:numPr>
                <w:ilvl w:val="0"/>
                <w:numId w:val="0"/>
              </w:numPr>
              <w:tabs>
                <w:tab w:val="left" w:pos="720"/>
              </w:tabs>
              <w:rPr>
                <w:rFonts w:ascii="Arial" w:hAnsi="Arial" w:cs="Arial"/>
                <w:sz w:val="22"/>
                <w:szCs w:val="22"/>
              </w:rPr>
            </w:pPr>
          </w:p>
          <w:p w:rsidR="00563807" w:rsidRPr="00C82AE0" w:rsidRDefault="00563807" w:rsidP="00B45DB9">
            <w:pPr>
              <w:pStyle w:val="ListBullet"/>
              <w:numPr>
                <w:ilvl w:val="0"/>
                <w:numId w:val="0"/>
              </w:numPr>
              <w:tabs>
                <w:tab w:val="left" w:pos="720"/>
              </w:tabs>
              <w:rPr>
                <w:rFonts w:ascii="Arial" w:hAnsi="Arial" w:cs="Arial"/>
                <w:sz w:val="22"/>
                <w:szCs w:val="22"/>
              </w:rPr>
            </w:pPr>
            <w:r w:rsidRPr="00754A29">
              <w:rPr>
                <w:rFonts w:ascii="Arial" w:hAnsi="Arial" w:cs="Arial"/>
                <w:b/>
                <w:sz w:val="22"/>
                <w:szCs w:val="22"/>
              </w:rPr>
              <w:t>Source</w:t>
            </w:r>
            <w:r>
              <w:rPr>
                <w:rFonts w:ascii="Arial" w:hAnsi="Arial" w:cs="Arial"/>
                <w:b/>
                <w:sz w:val="22"/>
                <w:szCs w:val="22"/>
              </w:rPr>
              <w:t>: SG Core Indicators</w:t>
            </w:r>
          </w:p>
        </w:tc>
        <w:tc>
          <w:tcPr>
            <w:tcW w:w="1984" w:type="dxa"/>
            <w:tcBorders>
              <w:top w:val="single" w:sz="4" w:space="0" w:color="auto"/>
              <w:left w:val="single" w:sz="4" w:space="0" w:color="auto"/>
              <w:bottom w:val="single" w:sz="4" w:space="0" w:color="auto"/>
              <w:right w:val="single" w:sz="4" w:space="0" w:color="auto"/>
            </w:tcBorders>
          </w:tcPr>
          <w:p w:rsidR="00563807" w:rsidRPr="006F0A74" w:rsidRDefault="00A660D4" w:rsidP="00691D71">
            <w:pPr>
              <w:pStyle w:val="ListBullet"/>
              <w:numPr>
                <w:ilvl w:val="0"/>
                <w:numId w:val="0"/>
              </w:numPr>
              <w:tabs>
                <w:tab w:val="left" w:pos="720"/>
              </w:tabs>
              <w:jc w:val="center"/>
              <w:rPr>
                <w:rFonts w:ascii="Arial" w:hAnsi="Arial" w:cs="Arial"/>
                <w:sz w:val="22"/>
                <w:szCs w:val="22"/>
              </w:rPr>
            </w:pPr>
            <w:r w:rsidRPr="006F0A74">
              <w:rPr>
                <w:rFonts w:ascii="Arial" w:hAnsi="Arial" w:cs="Arial"/>
                <w:sz w:val="22"/>
                <w:szCs w:val="22"/>
              </w:rPr>
              <w:t xml:space="preserve"> </w:t>
            </w:r>
            <w:r w:rsidR="00563807" w:rsidRPr="006F0A74">
              <w:rPr>
                <w:rFonts w:ascii="Arial" w:hAnsi="Arial" w:cs="Arial"/>
                <w:sz w:val="22"/>
                <w:szCs w:val="22"/>
              </w:rPr>
              <w:t>(2015/16)</w:t>
            </w:r>
          </w:p>
          <w:p w:rsidR="009F71A9" w:rsidRPr="006F0A74" w:rsidRDefault="00A660D4" w:rsidP="00A660D4">
            <w:pPr>
              <w:pStyle w:val="ListBullet"/>
              <w:numPr>
                <w:ilvl w:val="0"/>
                <w:numId w:val="0"/>
              </w:numPr>
              <w:tabs>
                <w:tab w:val="left" w:pos="720"/>
              </w:tabs>
              <w:jc w:val="center"/>
              <w:rPr>
                <w:rFonts w:ascii="Arial" w:hAnsi="Arial" w:cs="Arial"/>
                <w:sz w:val="22"/>
                <w:szCs w:val="22"/>
              </w:rPr>
            </w:pPr>
            <w:r w:rsidRPr="006F0A74">
              <w:rPr>
                <w:rFonts w:ascii="Arial" w:hAnsi="Arial" w:cs="Arial"/>
                <w:sz w:val="22"/>
                <w:szCs w:val="22"/>
              </w:rPr>
              <w:t>42%</w:t>
            </w:r>
          </w:p>
          <w:p w:rsidR="009F71A9" w:rsidRPr="006F0A74" w:rsidRDefault="009F71A9" w:rsidP="00A660D4">
            <w:pPr>
              <w:pStyle w:val="ListBullet"/>
              <w:numPr>
                <w:ilvl w:val="0"/>
                <w:numId w:val="0"/>
              </w:numPr>
              <w:tabs>
                <w:tab w:val="left" w:pos="720"/>
              </w:tabs>
              <w:jc w:val="center"/>
              <w:rPr>
                <w:rFonts w:ascii="Arial" w:hAnsi="Arial" w:cs="Arial"/>
                <w:sz w:val="22"/>
                <w:szCs w:val="22"/>
              </w:rPr>
            </w:pPr>
            <w:r w:rsidRPr="006F0A74">
              <w:rPr>
                <w:rFonts w:ascii="Arial" w:hAnsi="Arial" w:cs="Arial"/>
                <w:sz w:val="22"/>
                <w:szCs w:val="22"/>
              </w:rPr>
              <w:t>South Lanarkshire Average</w:t>
            </w:r>
          </w:p>
          <w:p w:rsidR="009F71A9" w:rsidRPr="006F0A74" w:rsidRDefault="009F71A9" w:rsidP="00A660D4">
            <w:pPr>
              <w:pStyle w:val="ListBullet"/>
              <w:numPr>
                <w:ilvl w:val="0"/>
                <w:numId w:val="0"/>
              </w:numPr>
              <w:tabs>
                <w:tab w:val="left" w:pos="720"/>
              </w:tabs>
              <w:jc w:val="center"/>
              <w:rPr>
                <w:rFonts w:ascii="Arial" w:hAnsi="Arial" w:cs="Arial"/>
                <w:sz w:val="22"/>
                <w:szCs w:val="22"/>
              </w:rPr>
            </w:pPr>
          </w:p>
          <w:p w:rsidR="009F71A9" w:rsidRPr="006F0A74" w:rsidRDefault="009F71A9" w:rsidP="00A660D4">
            <w:pPr>
              <w:pStyle w:val="ListBullet"/>
              <w:numPr>
                <w:ilvl w:val="0"/>
                <w:numId w:val="0"/>
              </w:numPr>
              <w:tabs>
                <w:tab w:val="left" w:pos="720"/>
              </w:tabs>
              <w:jc w:val="center"/>
              <w:rPr>
                <w:rFonts w:ascii="Arial" w:hAnsi="Arial" w:cs="Arial"/>
                <w:sz w:val="22"/>
                <w:szCs w:val="22"/>
              </w:rPr>
            </w:pPr>
            <w:r w:rsidRPr="006F0A74">
              <w:rPr>
                <w:rFonts w:ascii="Arial" w:hAnsi="Arial" w:cs="Arial"/>
                <w:sz w:val="22"/>
                <w:szCs w:val="22"/>
              </w:rPr>
              <w:t xml:space="preserve">41% </w:t>
            </w:r>
          </w:p>
          <w:p w:rsidR="00A660D4" w:rsidRPr="006F0A74" w:rsidRDefault="009F71A9" w:rsidP="005D12D2">
            <w:pPr>
              <w:pStyle w:val="ListBullet"/>
              <w:numPr>
                <w:ilvl w:val="0"/>
                <w:numId w:val="0"/>
              </w:numPr>
              <w:tabs>
                <w:tab w:val="left" w:pos="720"/>
              </w:tabs>
              <w:jc w:val="center"/>
              <w:rPr>
                <w:rFonts w:ascii="Arial" w:hAnsi="Arial" w:cs="Arial"/>
                <w:sz w:val="22"/>
                <w:szCs w:val="22"/>
              </w:rPr>
            </w:pPr>
            <w:r w:rsidRPr="006F0A74">
              <w:rPr>
                <w:rFonts w:ascii="Arial" w:hAnsi="Arial" w:cs="Arial"/>
                <w:sz w:val="22"/>
                <w:szCs w:val="22"/>
              </w:rPr>
              <w:t>Scottish Average</w:t>
            </w:r>
            <w:r w:rsidR="00A660D4" w:rsidRPr="006F0A74">
              <w:rPr>
                <w:rFonts w:ascii="Arial" w:hAnsi="Arial" w:cs="Arial"/>
                <w:sz w:val="22"/>
                <w:szCs w:val="22"/>
              </w:rPr>
              <w:t xml:space="preserve"> </w:t>
            </w:r>
          </w:p>
        </w:tc>
        <w:tc>
          <w:tcPr>
            <w:tcW w:w="2075" w:type="dxa"/>
            <w:tcBorders>
              <w:top w:val="single" w:sz="4" w:space="0" w:color="auto"/>
              <w:left w:val="single" w:sz="4" w:space="0" w:color="auto"/>
              <w:bottom w:val="single" w:sz="4" w:space="0" w:color="auto"/>
              <w:right w:val="single" w:sz="4" w:space="0" w:color="auto"/>
            </w:tcBorders>
          </w:tcPr>
          <w:p w:rsidR="00563807" w:rsidRDefault="00A660D4" w:rsidP="00B45DB9">
            <w:pPr>
              <w:pStyle w:val="ListBullet"/>
              <w:numPr>
                <w:ilvl w:val="0"/>
                <w:numId w:val="0"/>
              </w:numPr>
              <w:tabs>
                <w:tab w:val="left" w:pos="720"/>
              </w:tabs>
              <w:jc w:val="center"/>
              <w:rPr>
                <w:rFonts w:ascii="Arial" w:hAnsi="Arial" w:cs="Arial"/>
                <w:sz w:val="22"/>
                <w:szCs w:val="22"/>
              </w:rPr>
            </w:pPr>
            <w:r w:rsidRPr="00795E98">
              <w:rPr>
                <w:rFonts w:ascii="Arial" w:hAnsi="Arial" w:cs="Arial"/>
                <w:sz w:val="22"/>
                <w:szCs w:val="22"/>
              </w:rPr>
              <w:t xml:space="preserve"> </w:t>
            </w:r>
            <w:r w:rsidR="00563807" w:rsidRPr="00795E98">
              <w:rPr>
                <w:rFonts w:ascii="Arial" w:hAnsi="Arial" w:cs="Arial"/>
                <w:sz w:val="22"/>
                <w:szCs w:val="22"/>
              </w:rPr>
              <w:t>(2015/16)</w:t>
            </w:r>
          </w:p>
          <w:p w:rsidR="00A660D4" w:rsidRDefault="00A660D4" w:rsidP="00A660D4">
            <w:pPr>
              <w:pStyle w:val="ListBullet"/>
              <w:numPr>
                <w:ilvl w:val="0"/>
                <w:numId w:val="0"/>
              </w:numPr>
              <w:tabs>
                <w:tab w:val="left" w:pos="720"/>
              </w:tabs>
              <w:jc w:val="center"/>
              <w:rPr>
                <w:rFonts w:ascii="Arial" w:hAnsi="Arial" w:cs="Arial"/>
                <w:sz w:val="22"/>
                <w:szCs w:val="22"/>
              </w:rPr>
            </w:pPr>
            <w:r w:rsidRPr="00795E98">
              <w:rPr>
                <w:rFonts w:ascii="Arial" w:hAnsi="Arial" w:cs="Arial"/>
                <w:sz w:val="22"/>
                <w:szCs w:val="22"/>
              </w:rPr>
              <w:t xml:space="preserve">42% </w:t>
            </w:r>
          </w:p>
          <w:p w:rsidR="00A660D4" w:rsidRPr="00795E98" w:rsidRDefault="00A660D4" w:rsidP="00B45DB9">
            <w:pPr>
              <w:pStyle w:val="ListBullet"/>
              <w:numPr>
                <w:ilvl w:val="0"/>
                <w:numId w:val="0"/>
              </w:numPr>
              <w:tabs>
                <w:tab w:val="left" w:pos="720"/>
              </w:tabs>
              <w:jc w:val="center"/>
              <w:rPr>
                <w:rFonts w:ascii="Arial" w:hAnsi="Arial" w:cs="Arial"/>
                <w:sz w:val="22"/>
                <w:szCs w:val="22"/>
                <w:highlight w:val="yellow"/>
              </w:rPr>
            </w:pPr>
          </w:p>
        </w:tc>
        <w:tc>
          <w:tcPr>
            <w:tcW w:w="1847" w:type="dxa"/>
            <w:tcBorders>
              <w:top w:val="single" w:sz="4" w:space="0" w:color="auto"/>
              <w:left w:val="single" w:sz="4" w:space="0" w:color="auto"/>
              <w:bottom w:val="single" w:sz="4" w:space="0" w:color="auto"/>
              <w:right w:val="single" w:sz="4" w:space="0" w:color="auto"/>
            </w:tcBorders>
          </w:tcPr>
          <w:p w:rsidR="00563807" w:rsidRPr="00C82AE0" w:rsidRDefault="00563807" w:rsidP="009F71A9">
            <w:pPr>
              <w:pStyle w:val="ListBullet"/>
              <w:numPr>
                <w:ilvl w:val="0"/>
                <w:numId w:val="0"/>
              </w:numPr>
              <w:tabs>
                <w:tab w:val="left" w:pos="720"/>
              </w:tabs>
              <w:jc w:val="center"/>
              <w:rPr>
                <w:rFonts w:ascii="Arial" w:hAnsi="Arial" w:cs="Arial"/>
                <w:sz w:val="22"/>
                <w:szCs w:val="22"/>
              </w:rPr>
            </w:pPr>
            <w:r>
              <w:rPr>
                <w:rFonts w:ascii="Arial" w:hAnsi="Arial" w:cs="Arial"/>
                <w:sz w:val="22"/>
                <w:szCs w:val="22"/>
              </w:rPr>
              <w:t xml:space="preserve">Maintain at Scottish Average </w:t>
            </w:r>
          </w:p>
        </w:tc>
        <w:tc>
          <w:tcPr>
            <w:tcW w:w="1894" w:type="dxa"/>
            <w:tcBorders>
              <w:top w:val="single" w:sz="4" w:space="0" w:color="auto"/>
              <w:left w:val="single" w:sz="4" w:space="0" w:color="auto"/>
              <w:bottom w:val="single" w:sz="4" w:space="0" w:color="auto"/>
              <w:right w:val="single" w:sz="4" w:space="0" w:color="auto"/>
            </w:tcBorders>
          </w:tcPr>
          <w:p w:rsidR="00563807" w:rsidRPr="00C82AE0" w:rsidRDefault="00563807"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Maintain above Scottish Average</w:t>
            </w:r>
          </w:p>
        </w:tc>
        <w:tc>
          <w:tcPr>
            <w:tcW w:w="1871" w:type="dxa"/>
            <w:tcBorders>
              <w:top w:val="single" w:sz="4" w:space="0" w:color="auto"/>
              <w:left w:val="single" w:sz="4" w:space="0" w:color="auto"/>
              <w:bottom w:val="single" w:sz="4" w:space="0" w:color="auto"/>
              <w:right w:val="single" w:sz="4" w:space="0" w:color="auto"/>
            </w:tcBorders>
          </w:tcPr>
          <w:p w:rsidR="00563807" w:rsidRPr="00C82AE0" w:rsidRDefault="00563807" w:rsidP="00B45DB9">
            <w:pPr>
              <w:pStyle w:val="ListBullet"/>
              <w:numPr>
                <w:ilvl w:val="0"/>
                <w:numId w:val="0"/>
              </w:numPr>
              <w:tabs>
                <w:tab w:val="left" w:pos="720"/>
              </w:tabs>
              <w:jc w:val="center"/>
              <w:rPr>
                <w:rFonts w:ascii="Arial" w:hAnsi="Arial" w:cs="Arial"/>
                <w:sz w:val="22"/>
                <w:szCs w:val="22"/>
              </w:rPr>
            </w:pPr>
            <w:r>
              <w:rPr>
                <w:rFonts w:ascii="Arial" w:hAnsi="Arial" w:cs="Arial"/>
                <w:sz w:val="22"/>
                <w:szCs w:val="22"/>
              </w:rPr>
              <w:t>Maintain above Scottish Average</w:t>
            </w:r>
          </w:p>
        </w:tc>
      </w:tr>
      <w:tr w:rsidR="00563807" w:rsidRPr="000A2276" w:rsidTr="00754A29">
        <w:trPr>
          <w:trHeight w:val="525"/>
        </w:trPr>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563807" w:rsidRPr="00893157" w:rsidRDefault="00893157" w:rsidP="00B45DB9">
            <w:pPr>
              <w:pStyle w:val="ListBullet"/>
              <w:numPr>
                <w:ilvl w:val="0"/>
                <w:numId w:val="0"/>
              </w:numPr>
              <w:tabs>
                <w:tab w:val="left" w:pos="720"/>
              </w:tabs>
              <w:rPr>
                <w:rFonts w:ascii="Arial" w:hAnsi="Arial" w:cs="Arial"/>
                <w:sz w:val="22"/>
                <w:szCs w:val="22"/>
              </w:rPr>
            </w:pPr>
            <w:r w:rsidRPr="00893157">
              <w:rPr>
                <w:rFonts w:ascii="Arial" w:hAnsi="Arial" w:cs="Arial"/>
                <w:sz w:val="22"/>
                <w:szCs w:val="22"/>
              </w:rPr>
              <w:t>Monitor t</w:t>
            </w:r>
            <w:r w:rsidR="00563807" w:rsidRPr="00893157">
              <w:rPr>
                <w:rFonts w:ascii="Arial" w:hAnsi="Arial" w:cs="Arial"/>
                <w:sz w:val="22"/>
                <w:szCs w:val="22"/>
              </w:rPr>
              <w:t xml:space="preserve">he number of new carers supported by dedicated Welfare Rights Officers </w:t>
            </w:r>
          </w:p>
          <w:p w:rsidR="00563807" w:rsidRPr="00893157" w:rsidRDefault="00563807" w:rsidP="00B45DB9">
            <w:pPr>
              <w:pStyle w:val="ListBullet"/>
              <w:numPr>
                <w:ilvl w:val="0"/>
                <w:numId w:val="0"/>
              </w:numPr>
              <w:tabs>
                <w:tab w:val="left" w:pos="720"/>
              </w:tabs>
              <w:rPr>
                <w:rFonts w:ascii="Arial" w:hAnsi="Arial" w:cs="Arial"/>
                <w:sz w:val="22"/>
                <w:szCs w:val="22"/>
              </w:rPr>
            </w:pPr>
          </w:p>
          <w:p w:rsidR="009F71A9" w:rsidRPr="00893157" w:rsidRDefault="00563807" w:rsidP="009F71A9">
            <w:pPr>
              <w:pStyle w:val="ListBullet"/>
              <w:numPr>
                <w:ilvl w:val="0"/>
                <w:numId w:val="0"/>
              </w:numPr>
              <w:tabs>
                <w:tab w:val="left" w:pos="720"/>
              </w:tabs>
              <w:rPr>
                <w:rFonts w:ascii="Arial" w:hAnsi="Arial" w:cs="Arial"/>
                <w:sz w:val="22"/>
                <w:szCs w:val="22"/>
              </w:rPr>
            </w:pPr>
            <w:r w:rsidRPr="00893157">
              <w:rPr>
                <w:rFonts w:ascii="Arial" w:hAnsi="Arial" w:cs="Arial"/>
                <w:b/>
                <w:sz w:val="22"/>
                <w:szCs w:val="22"/>
              </w:rPr>
              <w:t>Source: Social Work Resource Plan</w:t>
            </w:r>
          </w:p>
        </w:tc>
        <w:tc>
          <w:tcPr>
            <w:tcW w:w="1984" w:type="dxa"/>
            <w:tcBorders>
              <w:top w:val="single" w:sz="4" w:space="0" w:color="auto"/>
              <w:left w:val="single" w:sz="4" w:space="0" w:color="auto"/>
              <w:bottom w:val="single" w:sz="4" w:space="0" w:color="auto"/>
              <w:right w:val="single" w:sz="4" w:space="0" w:color="auto"/>
            </w:tcBorders>
          </w:tcPr>
          <w:p w:rsidR="00563807" w:rsidRDefault="00A660D4" w:rsidP="00691D71">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 xml:space="preserve"> </w:t>
            </w:r>
            <w:r w:rsidR="00563807" w:rsidRPr="00893157">
              <w:rPr>
                <w:rFonts w:ascii="Arial" w:hAnsi="Arial" w:cs="Arial"/>
                <w:sz w:val="22"/>
                <w:szCs w:val="22"/>
              </w:rPr>
              <w:t>(2016/17)</w:t>
            </w:r>
          </w:p>
          <w:p w:rsidR="00A660D4" w:rsidRDefault="00A660D4" w:rsidP="00A660D4">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 xml:space="preserve">1,010 </w:t>
            </w:r>
          </w:p>
          <w:p w:rsidR="00A660D4" w:rsidRPr="00893157" w:rsidRDefault="00A660D4" w:rsidP="00691D71">
            <w:pPr>
              <w:pStyle w:val="ListBullet"/>
              <w:numPr>
                <w:ilvl w:val="0"/>
                <w:numId w:val="0"/>
              </w:numPr>
              <w:tabs>
                <w:tab w:val="left" w:pos="720"/>
              </w:tabs>
              <w:jc w:val="center"/>
              <w:rPr>
                <w:rFonts w:ascii="Arial" w:hAnsi="Arial" w:cs="Arial"/>
                <w:sz w:val="22"/>
                <w:szCs w:val="22"/>
              </w:rPr>
            </w:pPr>
          </w:p>
        </w:tc>
        <w:tc>
          <w:tcPr>
            <w:tcW w:w="2075" w:type="dxa"/>
            <w:tcBorders>
              <w:top w:val="single" w:sz="4" w:space="0" w:color="auto"/>
              <w:left w:val="single" w:sz="4" w:space="0" w:color="auto"/>
              <w:bottom w:val="single" w:sz="4" w:space="0" w:color="auto"/>
              <w:right w:val="single" w:sz="4" w:space="0" w:color="auto"/>
            </w:tcBorders>
          </w:tcPr>
          <w:p w:rsidR="00563807" w:rsidRDefault="00A660D4" w:rsidP="00B45DB9">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 xml:space="preserve"> </w:t>
            </w:r>
            <w:r w:rsidR="00DF33AF">
              <w:rPr>
                <w:rFonts w:ascii="Arial" w:hAnsi="Arial" w:cs="Arial"/>
                <w:sz w:val="22"/>
                <w:szCs w:val="22"/>
              </w:rPr>
              <w:t>(2017/18</w:t>
            </w:r>
            <w:r w:rsidR="00563807" w:rsidRPr="00893157">
              <w:rPr>
                <w:rFonts w:ascii="Arial" w:hAnsi="Arial" w:cs="Arial"/>
                <w:sz w:val="22"/>
                <w:szCs w:val="22"/>
              </w:rPr>
              <w:t>)</w:t>
            </w:r>
          </w:p>
          <w:p w:rsidR="00A660D4" w:rsidRDefault="00DF33AF" w:rsidP="00A660D4">
            <w:pPr>
              <w:pStyle w:val="ListBullet"/>
              <w:numPr>
                <w:ilvl w:val="0"/>
                <w:numId w:val="0"/>
              </w:numPr>
              <w:tabs>
                <w:tab w:val="left" w:pos="720"/>
              </w:tabs>
              <w:jc w:val="center"/>
              <w:rPr>
                <w:rFonts w:ascii="Arial" w:hAnsi="Arial" w:cs="Arial"/>
                <w:sz w:val="22"/>
                <w:szCs w:val="22"/>
              </w:rPr>
            </w:pPr>
            <w:r>
              <w:rPr>
                <w:rFonts w:ascii="Arial" w:hAnsi="Arial" w:cs="Arial"/>
                <w:sz w:val="22"/>
                <w:szCs w:val="22"/>
              </w:rPr>
              <w:t>963</w:t>
            </w:r>
          </w:p>
          <w:p w:rsidR="00A660D4" w:rsidRPr="00893157" w:rsidRDefault="00A660D4" w:rsidP="00B45DB9">
            <w:pPr>
              <w:pStyle w:val="ListBullet"/>
              <w:numPr>
                <w:ilvl w:val="0"/>
                <w:numId w:val="0"/>
              </w:numPr>
              <w:tabs>
                <w:tab w:val="left" w:pos="720"/>
              </w:tabs>
              <w:jc w:val="center"/>
              <w:rPr>
                <w:rFonts w:ascii="Arial" w:hAnsi="Arial" w:cs="Arial"/>
                <w:sz w:val="22"/>
                <w:szCs w:val="22"/>
              </w:rPr>
            </w:pPr>
          </w:p>
        </w:tc>
        <w:tc>
          <w:tcPr>
            <w:tcW w:w="1847" w:type="dxa"/>
            <w:tcBorders>
              <w:top w:val="single" w:sz="4" w:space="0" w:color="auto"/>
              <w:left w:val="single" w:sz="4" w:space="0" w:color="auto"/>
              <w:bottom w:val="single" w:sz="4" w:space="0" w:color="auto"/>
              <w:right w:val="single" w:sz="4" w:space="0" w:color="auto"/>
            </w:tcBorders>
          </w:tcPr>
          <w:p w:rsidR="00563807" w:rsidRPr="00893157" w:rsidRDefault="00563807" w:rsidP="00B45DB9">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Monitor for Contextual Purposes</w:t>
            </w:r>
          </w:p>
        </w:tc>
        <w:tc>
          <w:tcPr>
            <w:tcW w:w="1894" w:type="dxa"/>
            <w:tcBorders>
              <w:top w:val="single" w:sz="4" w:space="0" w:color="auto"/>
              <w:left w:val="single" w:sz="4" w:space="0" w:color="auto"/>
              <w:bottom w:val="single" w:sz="4" w:space="0" w:color="auto"/>
              <w:right w:val="single" w:sz="4" w:space="0" w:color="auto"/>
            </w:tcBorders>
          </w:tcPr>
          <w:p w:rsidR="00563807" w:rsidRPr="00893157" w:rsidRDefault="00563807" w:rsidP="00B45DB9">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Monitor for Contextual Purposes</w:t>
            </w:r>
          </w:p>
        </w:tc>
        <w:tc>
          <w:tcPr>
            <w:tcW w:w="1871" w:type="dxa"/>
            <w:tcBorders>
              <w:top w:val="single" w:sz="4" w:space="0" w:color="auto"/>
              <w:left w:val="single" w:sz="4" w:space="0" w:color="auto"/>
              <w:bottom w:val="single" w:sz="4" w:space="0" w:color="auto"/>
              <w:right w:val="single" w:sz="4" w:space="0" w:color="auto"/>
            </w:tcBorders>
          </w:tcPr>
          <w:p w:rsidR="00563807" w:rsidRPr="00893157" w:rsidRDefault="00563807" w:rsidP="00B45DB9">
            <w:pPr>
              <w:pStyle w:val="ListBullet"/>
              <w:numPr>
                <w:ilvl w:val="0"/>
                <w:numId w:val="0"/>
              </w:numPr>
              <w:tabs>
                <w:tab w:val="left" w:pos="720"/>
              </w:tabs>
              <w:jc w:val="center"/>
              <w:rPr>
                <w:rFonts w:ascii="Arial" w:hAnsi="Arial" w:cs="Arial"/>
                <w:sz w:val="22"/>
                <w:szCs w:val="22"/>
              </w:rPr>
            </w:pPr>
            <w:r w:rsidRPr="00893157">
              <w:rPr>
                <w:rFonts w:ascii="Arial" w:hAnsi="Arial" w:cs="Arial"/>
                <w:sz w:val="22"/>
                <w:szCs w:val="22"/>
              </w:rPr>
              <w:t>Monitor for Contextual Purposes</w:t>
            </w:r>
          </w:p>
        </w:tc>
      </w:tr>
    </w:tbl>
    <w:p w:rsidR="006F0A74" w:rsidRDefault="006F0A7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7"/>
        <w:gridCol w:w="4029"/>
        <w:gridCol w:w="3333"/>
        <w:gridCol w:w="1766"/>
        <w:gridCol w:w="1783"/>
      </w:tblGrid>
      <w:tr w:rsidR="00563807" w:rsidRPr="00773970" w:rsidTr="00470E18">
        <w:trPr>
          <w:trHeight w:val="361"/>
        </w:trPr>
        <w:tc>
          <w:tcPr>
            <w:tcW w:w="13948" w:type="dxa"/>
            <w:gridSpan w:val="5"/>
            <w:tcBorders>
              <w:top w:val="single" w:sz="4" w:space="0" w:color="auto"/>
              <w:left w:val="single" w:sz="4" w:space="0" w:color="auto"/>
              <w:bottom w:val="single" w:sz="4" w:space="0" w:color="auto"/>
              <w:right w:val="single" w:sz="4" w:space="0" w:color="auto"/>
            </w:tcBorders>
            <w:shd w:val="clear" w:color="auto" w:fill="E5DFEC"/>
          </w:tcPr>
          <w:p w:rsidR="00563807" w:rsidRPr="00C82AE0" w:rsidRDefault="00563807" w:rsidP="00B45DB9">
            <w:pPr>
              <w:pStyle w:val="ListBullet"/>
              <w:numPr>
                <w:ilvl w:val="0"/>
                <w:numId w:val="0"/>
              </w:numPr>
              <w:tabs>
                <w:tab w:val="left" w:pos="720"/>
              </w:tabs>
              <w:rPr>
                <w:rFonts w:ascii="Arial" w:hAnsi="Arial" w:cs="Arial"/>
                <w:b/>
                <w:sz w:val="22"/>
                <w:szCs w:val="22"/>
              </w:rPr>
            </w:pPr>
            <w:r w:rsidRPr="00C82AE0">
              <w:rPr>
                <w:rFonts w:ascii="Arial" w:hAnsi="Arial" w:cs="Arial"/>
                <w:b/>
                <w:sz w:val="22"/>
                <w:szCs w:val="22"/>
              </w:rPr>
              <w:t>We will take the following actions to achieve the outcome above</w:t>
            </w:r>
          </w:p>
        </w:tc>
      </w:tr>
      <w:tr w:rsidR="00563807" w:rsidRPr="00680A11" w:rsidTr="00470E18">
        <w:trPr>
          <w:trHeight w:val="372"/>
        </w:trPr>
        <w:tc>
          <w:tcPr>
            <w:tcW w:w="303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63807" w:rsidRPr="009508A3" w:rsidRDefault="00563807" w:rsidP="00B45DB9">
            <w:pPr>
              <w:pStyle w:val="ListBullet"/>
              <w:numPr>
                <w:ilvl w:val="0"/>
                <w:numId w:val="0"/>
              </w:numPr>
              <w:tabs>
                <w:tab w:val="left" w:pos="720"/>
              </w:tabs>
              <w:spacing w:line="276" w:lineRule="auto"/>
              <w:jc w:val="center"/>
              <w:rPr>
                <w:rFonts w:ascii="Arial" w:hAnsi="Arial" w:cs="Arial"/>
                <w:b/>
                <w:sz w:val="22"/>
                <w:szCs w:val="22"/>
              </w:rPr>
            </w:pPr>
            <w:r w:rsidRPr="009508A3">
              <w:rPr>
                <w:rFonts w:ascii="Arial" w:hAnsi="Arial" w:cs="Arial"/>
                <w:b/>
                <w:sz w:val="22"/>
                <w:szCs w:val="22"/>
              </w:rPr>
              <w:t>Change Required</w:t>
            </w:r>
          </w:p>
        </w:tc>
        <w:tc>
          <w:tcPr>
            <w:tcW w:w="402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63807" w:rsidRPr="009508A3" w:rsidRDefault="008103F0" w:rsidP="00B45DB9">
            <w:pPr>
              <w:jc w:val="center"/>
              <w:rPr>
                <w:rFonts w:cs="Arial"/>
                <w:b/>
              </w:rPr>
            </w:pPr>
            <w:r>
              <w:rPr>
                <w:rFonts w:cs="Arial"/>
                <w:b/>
              </w:rPr>
              <w:t>Action to achieve change (</w:t>
            </w:r>
            <w:r w:rsidR="00563807" w:rsidRPr="009508A3">
              <w:rPr>
                <w:rFonts w:cs="Arial"/>
                <w:b/>
              </w:rPr>
              <w:t>including outcome measures and targets)</w:t>
            </w:r>
          </w:p>
        </w:tc>
        <w:tc>
          <w:tcPr>
            <w:tcW w:w="333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63807" w:rsidRPr="009508A3" w:rsidRDefault="00563807" w:rsidP="00B45DB9">
            <w:pPr>
              <w:jc w:val="center"/>
              <w:rPr>
                <w:rFonts w:cs="Arial"/>
                <w:b/>
              </w:rPr>
            </w:pPr>
            <w:r w:rsidRPr="009508A3">
              <w:rPr>
                <w:rFonts w:cs="Arial"/>
                <w:b/>
              </w:rPr>
              <w:t>Timescale</w:t>
            </w:r>
          </w:p>
        </w:tc>
        <w:tc>
          <w:tcPr>
            <w:tcW w:w="176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563807" w:rsidRPr="009508A3" w:rsidRDefault="00563807" w:rsidP="00B45DB9">
            <w:pPr>
              <w:jc w:val="center"/>
              <w:rPr>
                <w:rFonts w:cs="Arial"/>
                <w:b/>
              </w:rPr>
            </w:pPr>
            <w:r w:rsidRPr="009508A3">
              <w:rPr>
                <w:rFonts w:cs="Arial"/>
                <w:b/>
              </w:rPr>
              <w:t>Responsibility</w:t>
            </w:r>
          </w:p>
        </w:tc>
        <w:tc>
          <w:tcPr>
            <w:tcW w:w="17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563807" w:rsidRPr="00C82AE0" w:rsidRDefault="00563807" w:rsidP="00B45DB9">
            <w:pPr>
              <w:jc w:val="center"/>
              <w:rPr>
                <w:rFonts w:cs="Arial"/>
                <w:b/>
              </w:rPr>
            </w:pPr>
            <w:r>
              <w:rPr>
                <w:rFonts w:cs="Arial"/>
                <w:b/>
              </w:rPr>
              <w:t>Poverty focus</w:t>
            </w:r>
          </w:p>
        </w:tc>
      </w:tr>
      <w:tr w:rsidR="00563807" w:rsidRPr="00680A11" w:rsidTr="00470E18">
        <w:trPr>
          <w:trHeight w:val="990"/>
        </w:trPr>
        <w:tc>
          <w:tcPr>
            <w:tcW w:w="30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63807" w:rsidRDefault="00563807" w:rsidP="008103F0">
            <w:pPr>
              <w:pStyle w:val="ListBullet"/>
              <w:numPr>
                <w:ilvl w:val="0"/>
                <w:numId w:val="0"/>
              </w:numPr>
              <w:tabs>
                <w:tab w:val="left" w:pos="720"/>
              </w:tabs>
              <w:rPr>
                <w:rFonts w:ascii="Arial" w:hAnsi="Arial" w:cs="Arial"/>
                <w:sz w:val="22"/>
                <w:szCs w:val="22"/>
              </w:rPr>
            </w:pPr>
            <w:r>
              <w:rPr>
                <w:rFonts w:ascii="Arial" w:hAnsi="Arial" w:cs="Arial"/>
                <w:sz w:val="22"/>
                <w:szCs w:val="22"/>
              </w:rPr>
              <w:t xml:space="preserve">Reform support to carers in line with the requirements of the Carers Act </w:t>
            </w:r>
            <w:r w:rsidR="008103F0">
              <w:rPr>
                <w:rFonts w:ascii="Arial" w:hAnsi="Arial" w:cs="Arial"/>
                <w:sz w:val="22"/>
                <w:szCs w:val="22"/>
              </w:rPr>
              <w:t>(</w:t>
            </w:r>
            <w:r>
              <w:rPr>
                <w:rFonts w:ascii="Arial" w:hAnsi="Arial" w:cs="Arial"/>
                <w:sz w:val="22"/>
                <w:szCs w:val="22"/>
              </w:rPr>
              <w:t>2016</w:t>
            </w:r>
            <w:r w:rsidR="008103F0">
              <w:rPr>
                <w:rFonts w:ascii="Arial" w:hAnsi="Arial" w:cs="Arial"/>
                <w:sz w:val="22"/>
                <w:szCs w:val="22"/>
              </w:rPr>
              <w:t>)</w:t>
            </w:r>
          </w:p>
          <w:p w:rsidR="00563807" w:rsidRDefault="00563807" w:rsidP="008103F0">
            <w:pPr>
              <w:pStyle w:val="ListBullet"/>
              <w:numPr>
                <w:ilvl w:val="0"/>
                <w:numId w:val="0"/>
              </w:numPr>
              <w:tabs>
                <w:tab w:val="left" w:pos="720"/>
              </w:tabs>
              <w:rPr>
                <w:rFonts w:ascii="Arial" w:hAnsi="Arial" w:cs="Arial"/>
                <w:sz w:val="22"/>
                <w:szCs w:val="22"/>
              </w:rPr>
            </w:pPr>
          </w:p>
          <w:p w:rsidR="00563807" w:rsidRDefault="00563807" w:rsidP="008103F0">
            <w:pPr>
              <w:pStyle w:val="ListBullet"/>
              <w:numPr>
                <w:ilvl w:val="0"/>
                <w:numId w:val="0"/>
              </w:numPr>
              <w:tabs>
                <w:tab w:val="left" w:pos="720"/>
              </w:tabs>
              <w:rPr>
                <w:rFonts w:ascii="Arial" w:hAnsi="Arial" w:cs="Arial"/>
                <w:sz w:val="22"/>
                <w:szCs w:val="22"/>
              </w:rPr>
            </w:pPr>
          </w:p>
          <w:p w:rsidR="00563807" w:rsidRDefault="00563807" w:rsidP="008103F0">
            <w:pPr>
              <w:pStyle w:val="ListBullet"/>
              <w:numPr>
                <w:ilvl w:val="0"/>
                <w:numId w:val="0"/>
              </w:numPr>
              <w:tabs>
                <w:tab w:val="left" w:pos="720"/>
              </w:tabs>
              <w:rPr>
                <w:rFonts w:ascii="Arial" w:hAnsi="Arial" w:cs="Arial"/>
                <w:sz w:val="22"/>
                <w:szCs w:val="22"/>
              </w:rPr>
            </w:pPr>
          </w:p>
          <w:p w:rsidR="00563807" w:rsidRDefault="00563807" w:rsidP="008103F0">
            <w:pPr>
              <w:pStyle w:val="ListBullet"/>
              <w:numPr>
                <w:ilvl w:val="0"/>
                <w:numId w:val="0"/>
              </w:numPr>
              <w:tabs>
                <w:tab w:val="left" w:pos="720"/>
              </w:tabs>
              <w:rPr>
                <w:rFonts w:ascii="Arial" w:hAnsi="Arial" w:cs="Arial"/>
                <w:sz w:val="22"/>
                <w:szCs w:val="22"/>
              </w:rPr>
            </w:pPr>
          </w:p>
          <w:p w:rsidR="00563807" w:rsidRPr="007D13B4" w:rsidRDefault="00563807" w:rsidP="008103F0">
            <w:pPr>
              <w:pStyle w:val="ListBullet"/>
              <w:numPr>
                <w:ilvl w:val="0"/>
                <w:numId w:val="0"/>
              </w:numPr>
              <w:tabs>
                <w:tab w:val="left" w:pos="720"/>
              </w:tabs>
              <w:rPr>
                <w:rFonts w:ascii="Arial" w:hAnsi="Arial" w:cs="Arial"/>
                <w:sz w:val="22"/>
                <w:szCs w:val="22"/>
              </w:rPr>
            </w:pPr>
          </w:p>
        </w:tc>
        <w:tc>
          <w:tcPr>
            <w:tcW w:w="4029" w:type="dxa"/>
            <w:tcBorders>
              <w:top w:val="single" w:sz="4" w:space="0" w:color="auto"/>
              <w:left w:val="single" w:sz="4" w:space="0" w:color="auto"/>
              <w:bottom w:val="single" w:sz="4" w:space="0" w:color="auto"/>
              <w:right w:val="single" w:sz="4" w:space="0" w:color="auto"/>
            </w:tcBorders>
          </w:tcPr>
          <w:p w:rsidR="001E35C1" w:rsidRPr="00C82AE0" w:rsidRDefault="00563807" w:rsidP="008B658D">
            <w:pPr>
              <w:tabs>
                <w:tab w:val="num" w:pos="1671"/>
              </w:tabs>
              <w:rPr>
                <w:rFonts w:cs="Arial"/>
              </w:rPr>
            </w:pPr>
            <w:r>
              <w:rPr>
                <w:rFonts w:cs="Arial"/>
              </w:rPr>
              <w:t>Implement the duties contained within the Carers Act (2016), with particular regard to carer eligibility, short breaks and the Carer Enablement Plans</w:t>
            </w:r>
          </w:p>
        </w:tc>
        <w:tc>
          <w:tcPr>
            <w:tcW w:w="3333" w:type="dxa"/>
            <w:tcBorders>
              <w:top w:val="single" w:sz="4" w:space="0" w:color="auto"/>
              <w:left w:val="single" w:sz="4" w:space="0" w:color="auto"/>
              <w:bottom w:val="single" w:sz="4" w:space="0" w:color="auto"/>
              <w:right w:val="single" w:sz="4" w:space="0" w:color="auto"/>
            </w:tcBorders>
          </w:tcPr>
          <w:p w:rsidR="00563807" w:rsidRPr="00C82AE0" w:rsidRDefault="00563807" w:rsidP="00B45DB9">
            <w:pPr>
              <w:jc w:val="center"/>
              <w:rPr>
                <w:rFonts w:cs="Arial"/>
              </w:rPr>
            </w:pPr>
            <w:r>
              <w:rPr>
                <w:rFonts w:cs="Arial"/>
              </w:rPr>
              <w:t>2018</w:t>
            </w:r>
          </w:p>
        </w:tc>
        <w:tc>
          <w:tcPr>
            <w:tcW w:w="1766" w:type="dxa"/>
            <w:tcBorders>
              <w:top w:val="single" w:sz="4" w:space="0" w:color="auto"/>
              <w:left w:val="single" w:sz="4" w:space="0" w:color="auto"/>
              <w:bottom w:val="single" w:sz="4" w:space="0" w:color="auto"/>
              <w:right w:val="single" w:sz="4" w:space="0" w:color="auto"/>
            </w:tcBorders>
          </w:tcPr>
          <w:p w:rsidR="00563807" w:rsidRPr="00C82AE0" w:rsidRDefault="00563807" w:rsidP="00B45DB9">
            <w:pPr>
              <w:tabs>
                <w:tab w:val="num" w:pos="1671"/>
              </w:tabs>
              <w:jc w:val="center"/>
              <w:rPr>
                <w:rFonts w:cs="Arial"/>
              </w:rPr>
            </w:pPr>
            <w:r>
              <w:rPr>
                <w:rFonts w:cs="Arial"/>
              </w:rPr>
              <w:t>Head of Commissioning and Performance</w:t>
            </w:r>
          </w:p>
        </w:tc>
        <w:tc>
          <w:tcPr>
            <w:tcW w:w="1783" w:type="dxa"/>
            <w:tcBorders>
              <w:top w:val="single" w:sz="4" w:space="0" w:color="auto"/>
              <w:left w:val="single" w:sz="4" w:space="0" w:color="auto"/>
              <w:bottom w:val="single" w:sz="4" w:space="0" w:color="auto"/>
              <w:right w:val="single" w:sz="4" w:space="0" w:color="auto"/>
            </w:tcBorders>
          </w:tcPr>
          <w:p w:rsidR="00563807" w:rsidRPr="0040382F" w:rsidRDefault="00563807" w:rsidP="00B45DB9">
            <w:pPr>
              <w:tabs>
                <w:tab w:val="num" w:pos="1671"/>
              </w:tabs>
              <w:jc w:val="center"/>
              <w:rPr>
                <w:rFonts w:cs="Arial"/>
              </w:rPr>
            </w:pPr>
            <w:r>
              <w:rPr>
                <w:rFonts w:cs="Arial"/>
              </w:rPr>
              <w:t xml:space="preserve">1, </w:t>
            </w:r>
            <w:r w:rsidRPr="0040382F">
              <w:rPr>
                <w:rFonts w:cs="Arial"/>
              </w:rPr>
              <w:t>5</w:t>
            </w:r>
          </w:p>
        </w:tc>
      </w:tr>
      <w:tr w:rsidR="00563807" w:rsidRPr="00680A11" w:rsidTr="00470E18">
        <w:trPr>
          <w:trHeight w:val="990"/>
        </w:trPr>
        <w:tc>
          <w:tcPr>
            <w:tcW w:w="303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563807" w:rsidRPr="007D13B4" w:rsidRDefault="00563807" w:rsidP="00B45DB9">
            <w:pPr>
              <w:pStyle w:val="ListBullet"/>
              <w:numPr>
                <w:ilvl w:val="0"/>
                <w:numId w:val="0"/>
              </w:numPr>
              <w:tabs>
                <w:tab w:val="left" w:pos="720"/>
              </w:tabs>
              <w:spacing w:line="276" w:lineRule="auto"/>
              <w:rPr>
                <w:rFonts w:ascii="Arial" w:hAnsi="Arial" w:cs="Arial"/>
                <w:b/>
                <w:sz w:val="22"/>
                <w:szCs w:val="22"/>
              </w:rPr>
            </w:pPr>
          </w:p>
        </w:tc>
        <w:tc>
          <w:tcPr>
            <w:tcW w:w="4029" w:type="dxa"/>
            <w:tcBorders>
              <w:top w:val="single" w:sz="4" w:space="0" w:color="auto"/>
              <w:left w:val="single" w:sz="4" w:space="0" w:color="auto"/>
              <w:bottom w:val="single" w:sz="4" w:space="0" w:color="auto"/>
              <w:right w:val="single" w:sz="4" w:space="0" w:color="auto"/>
            </w:tcBorders>
          </w:tcPr>
          <w:p w:rsidR="00563807" w:rsidRPr="007D13B4" w:rsidRDefault="00563807" w:rsidP="00B45DB9">
            <w:pPr>
              <w:tabs>
                <w:tab w:val="num" w:pos="1671"/>
              </w:tabs>
              <w:rPr>
                <w:rFonts w:cs="Arial"/>
              </w:rPr>
            </w:pPr>
            <w:r>
              <w:rPr>
                <w:rFonts w:cs="Arial"/>
              </w:rPr>
              <w:t>Participate as national pilot site to develop a new Strategy for Carers 2018-21 utilising £10k national funding</w:t>
            </w:r>
          </w:p>
        </w:tc>
        <w:tc>
          <w:tcPr>
            <w:tcW w:w="3333" w:type="dxa"/>
            <w:tcBorders>
              <w:top w:val="single" w:sz="4" w:space="0" w:color="auto"/>
              <w:left w:val="single" w:sz="4" w:space="0" w:color="auto"/>
              <w:bottom w:val="single" w:sz="4" w:space="0" w:color="auto"/>
              <w:right w:val="single" w:sz="4" w:space="0" w:color="auto"/>
            </w:tcBorders>
          </w:tcPr>
          <w:p w:rsidR="00563807" w:rsidRPr="007D13B4" w:rsidRDefault="00563807" w:rsidP="00B45DB9">
            <w:pPr>
              <w:jc w:val="center"/>
              <w:rPr>
                <w:rFonts w:cs="Arial"/>
              </w:rPr>
            </w:pPr>
            <w:r>
              <w:rPr>
                <w:rFonts w:cs="Arial"/>
              </w:rPr>
              <w:t>2018/19</w:t>
            </w:r>
          </w:p>
        </w:tc>
        <w:tc>
          <w:tcPr>
            <w:tcW w:w="1766" w:type="dxa"/>
            <w:tcBorders>
              <w:top w:val="single" w:sz="4" w:space="0" w:color="auto"/>
              <w:left w:val="single" w:sz="4" w:space="0" w:color="auto"/>
              <w:bottom w:val="single" w:sz="4" w:space="0" w:color="auto"/>
              <w:right w:val="single" w:sz="4" w:space="0" w:color="auto"/>
            </w:tcBorders>
          </w:tcPr>
          <w:p w:rsidR="00563807" w:rsidRPr="00C82AE0" w:rsidRDefault="00563807" w:rsidP="00B45DB9">
            <w:pPr>
              <w:tabs>
                <w:tab w:val="num" w:pos="1671"/>
              </w:tabs>
              <w:jc w:val="center"/>
              <w:rPr>
                <w:rFonts w:cs="Arial"/>
              </w:rPr>
            </w:pPr>
            <w:r>
              <w:rPr>
                <w:rFonts w:cs="Arial"/>
              </w:rPr>
              <w:t>Head of Commissioning and Performance</w:t>
            </w:r>
          </w:p>
        </w:tc>
        <w:tc>
          <w:tcPr>
            <w:tcW w:w="1783" w:type="dxa"/>
            <w:tcBorders>
              <w:top w:val="single" w:sz="4" w:space="0" w:color="auto"/>
              <w:left w:val="single" w:sz="4" w:space="0" w:color="auto"/>
              <w:bottom w:val="single" w:sz="4" w:space="0" w:color="auto"/>
              <w:right w:val="single" w:sz="4" w:space="0" w:color="auto"/>
            </w:tcBorders>
          </w:tcPr>
          <w:p w:rsidR="00563807" w:rsidRPr="0040382F" w:rsidRDefault="00563807" w:rsidP="00B45DB9">
            <w:pPr>
              <w:tabs>
                <w:tab w:val="num" w:pos="1671"/>
              </w:tabs>
              <w:jc w:val="center"/>
              <w:rPr>
                <w:rFonts w:cs="Arial"/>
              </w:rPr>
            </w:pPr>
            <w:r>
              <w:rPr>
                <w:rFonts w:cs="Arial"/>
              </w:rPr>
              <w:t xml:space="preserve">1, </w:t>
            </w:r>
            <w:r w:rsidRPr="0040382F">
              <w:rPr>
                <w:rFonts w:cs="Arial"/>
              </w:rPr>
              <w:t>5</w:t>
            </w:r>
          </w:p>
        </w:tc>
      </w:tr>
      <w:tr w:rsidR="00563807" w:rsidRPr="00680A11" w:rsidTr="00470E18">
        <w:trPr>
          <w:trHeight w:val="1056"/>
        </w:trPr>
        <w:tc>
          <w:tcPr>
            <w:tcW w:w="303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563807" w:rsidRPr="007D13B4" w:rsidRDefault="00563807" w:rsidP="00B45DB9">
            <w:pPr>
              <w:pStyle w:val="ListBullet"/>
              <w:numPr>
                <w:ilvl w:val="0"/>
                <w:numId w:val="0"/>
              </w:numPr>
              <w:tabs>
                <w:tab w:val="left" w:pos="720"/>
              </w:tabs>
              <w:spacing w:line="276" w:lineRule="auto"/>
              <w:rPr>
                <w:rFonts w:ascii="Arial" w:hAnsi="Arial" w:cs="Arial"/>
                <w:b/>
                <w:sz w:val="22"/>
                <w:szCs w:val="22"/>
              </w:rPr>
            </w:pPr>
          </w:p>
        </w:tc>
        <w:tc>
          <w:tcPr>
            <w:tcW w:w="4029" w:type="dxa"/>
            <w:tcBorders>
              <w:top w:val="single" w:sz="4" w:space="0" w:color="auto"/>
              <w:left w:val="single" w:sz="4" w:space="0" w:color="auto"/>
              <w:bottom w:val="single" w:sz="4" w:space="0" w:color="auto"/>
              <w:right w:val="single" w:sz="4" w:space="0" w:color="auto"/>
            </w:tcBorders>
          </w:tcPr>
          <w:p w:rsidR="001E35C1" w:rsidRDefault="00563807" w:rsidP="008B658D">
            <w:pPr>
              <w:tabs>
                <w:tab w:val="num" w:pos="1671"/>
              </w:tabs>
              <w:rPr>
                <w:rFonts w:cs="Arial"/>
              </w:rPr>
            </w:pPr>
            <w:r>
              <w:rPr>
                <w:rFonts w:cs="Arial"/>
              </w:rPr>
              <w:t>Utilise South Lanarkshire Partnership share of Scottish Government £2m allocation to strengthen carers support across the four localities</w:t>
            </w:r>
          </w:p>
        </w:tc>
        <w:tc>
          <w:tcPr>
            <w:tcW w:w="3333" w:type="dxa"/>
            <w:tcBorders>
              <w:top w:val="single" w:sz="4" w:space="0" w:color="auto"/>
              <w:left w:val="single" w:sz="4" w:space="0" w:color="auto"/>
              <w:bottom w:val="single" w:sz="4" w:space="0" w:color="auto"/>
              <w:right w:val="single" w:sz="4" w:space="0" w:color="auto"/>
            </w:tcBorders>
          </w:tcPr>
          <w:p w:rsidR="00563807" w:rsidRPr="007D13B4" w:rsidRDefault="00563807" w:rsidP="00B45DB9">
            <w:pPr>
              <w:jc w:val="center"/>
              <w:rPr>
                <w:rFonts w:cs="Arial"/>
              </w:rPr>
            </w:pPr>
            <w:r>
              <w:rPr>
                <w:rFonts w:cs="Arial"/>
              </w:rPr>
              <w:t>2017/18</w:t>
            </w:r>
          </w:p>
        </w:tc>
        <w:tc>
          <w:tcPr>
            <w:tcW w:w="1766" w:type="dxa"/>
            <w:tcBorders>
              <w:top w:val="single" w:sz="4" w:space="0" w:color="auto"/>
              <w:left w:val="single" w:sz="4" w:space="0" w:color="auto"/>
              <w:bottom w:val="single" w:sz="4" w:space="0" w:color="auto"/>
              <w:right w:val="single" w:sz="4" w:space="0" w:color="auto"/>
            </w:tcBorders>
          </w:tcPr>
          <w:p w:rsidR="00563807" w:rsidRPr="00C82AE0" w:rsidRDefault="00563807" w:rsidP="00B45DB9">
            <w:pPr>
              <w:tabs>
                <w:tab w:val="num" w:pos="1671"/>
              </w:tabs>
              <w:jc w:val="center"/>
              <w:rPr>
                <w:rFonts w:cs="Arial"/>
              </w:rPr>
            </w:pPr>
            <w:r>
              <w:rPr>
                <w:rFonts w:cs="Arial"/>
              </w:rPr>
              <w:t>Head of Commissioning and Performance</w:t>
            </w:r>
          </w:p>
        </w:tc>
        <w:tc>
          <w:tcPr>
            <w:tcW w:w="1783" w:type="dxa"/>
            <w:tcBorders>
              <w:top w:val="single" w:sz="4" w:space="0" w:color="auto"/>
              <w:left w:val="single" w:sz="4" w:space="0" w:color="auto"/>
              <w:bottom w:val="single" w:sz="4" w:space="0" w:color="auto"/>
              <w:right w:val="single" w:sz="4" w:space="0" w:color="auto"/>
            </w:tcBorders>
          </w:tcPr>
          <w:p w:rsidR="00563807" w:rsidRPr="0040382F" w:rsidRDefault="00563807" w:rsidP="00B45DB9">
            <w:pPr>
              <w:tabs>
                <w:tab w:val="num" w:pos="1671"/>
              </w:tabs>
              <w:jc w:val="center"/>
              <w:rPr>
                <w:rFonts w:cs="Arial"/>
              </w:rPr>
            </w:pPr>
            <w:r>
              <w:rPr>
                <w:rFonts w:cs="Arial"/>
              </w:rPr>
              <w:t xml:space="preserve">1, </w:t>
            </w:r>
            <w:r w:rsidRPr="0040382F">
              <w:rPr>
                <w:rFonts w:cs="Arial"/>
              </w:rPr>
              <w:t>5</w:t>
            </w:r>
          </w:p>
        </w:tc>
      </w:tr>
      <w:tr w:rsidR="00563807" w:rsidRPr="00680A11" w:rsidTr="00470E18">
        <w:trPr>
          <w:trHeight w:val="990"/>
        </w:trPr>
        <w:tc>
          <w:tcPr>
            <w:tcW w:w="303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563807" w:rsidRPr="007D13B4" w:rsidRDefault="00563807" w:rsidP="00B45DB9">
            <w:pPr>
              <w:pStyle w:val="ListBullet"/>
              <w:numPr>
                <w:ilvl w:val="0"/>
                <w:numId w:val="0"/>
              </w:numPr>
              <w:tabs>
                <w:tab w:val="left" w:pos="720"/>
              </w:tabs>
              <w:spacing w:line="276" w:lineRule="auto"/>
              <w:rPr>
                <w:rFonts w:ascii="Arial" w:hAnsi="Arial" w:cs="Arial"/>
                <w:b/>
                <w:sz w:val="22"/>
                <w:szCs w:val="22"/>
              </w:rPr>
            </w:pPr>
          </w:p>
        </w:tc>
        <w:tc>
          <w:tcPr>
            <w:tcW w:w="4029" w:type="dxa"/>
            <w:tcBorders>
              <w:top w:val="single" w:sz="4" w:space="0" w:color="auto"/>
              <w:left w:val="single" w:sz="4" w:space="0" w:color="auto"/>
              <w:bottom w:val="single" w:sz="4" w:space="0" w:color="auto"/>
              <w:right w:val="single" w:sz="4" w:space="0" w:color="auto"/>
            </w:tcBorders>
          </w:tcPr>
          <w:p w:rsidR="00563807" w:rsidRDefault="00563807" w:rsidP="00B45DB9">
            <w:pPr>
              <w:tabs>
                <w:tab w:val="num" w:pos="1671"/>
              </w:tabs>
              <w:rPr>
                <w:rFonts w:cs="Arial"/>
              </w:rPr>
            </w:pPr>
            <w:r>
              <w:rPr>
                <w:rFonts w:cs="Arial"/>
              </w:rPr>
              <w:t>A</w:t>
            </w:r>
            <w:r w:rsidR="005A0CD3">
              <w:rPr>
                <w:rFonts w:cs="Arial"/>
              </w:rPr>
              <w:t>s part of the Carer Enablement P</w:t>
            </w:r>
            <w:r>
              <w:rPr>
                <w:rFonts w:cs="Arial"/>
              </w:rPr>
              <w:t xml:space="preserve">lans, develop a suite of indicators which measures carers health and wellbeing </w:t>
            </w:r>
          </w:p>
        </w:tc>
        <w:tc>
          <w:tcPr>
            <w:tcW w:w="3333" w:type="dxa"/>
            <w:tcBorders>
              <w:top w:val="single" w:sz="4" w:space="0" w:color="auto"/>
              <w:left w:val="single" w:sz="4" w:space="0" w:color="auto"/>
              <w:bottom w:val="single" w:sz="4" w:space="0" w:color="auto"/>
              <w:right w:val="single" w:sz="4" w:space="0" w:color="auto"/>
            </w:tcBorders>
          </w:tcPr>
          <w:p w:rsidR="00563807" w:rsidRPr="007D13B4" w:rsidRDefault="00563807" w:rsidP="00B45DB9">
            <w:pPr>
              <w:jc w:val="center"/>
              <w:rPr>
                <w:rFonts w:cs="Arial"/>
              </w:rPr>
            </w:pPr>
            <w:r>
              <w:rPr>
                <w:rFonts w:cs="Arial"/>
              </w:rPr>
              <w:t>2018/19</w:t>
            </w:r>
          </w:p>
        </w:tc>
        <w:tc>
          <w:tcPr>
            <w:tcW w:w="1766" w:type="dxa"/>
            <w:tcBorders>
              <w:top w:val="single" w:sz="4" w:space="0" w:color="auto"/>
              <w:left w:val="single" w:sz="4" w:space="0" w:color="auto"/>
              <w:bottom w:val="single" w:sz="4" w:space="0" w:color="auto"/>
              <w:right w:val="single" w:sz="4" w:space="0" w:color="auto"/>
            </w:tcBorders>
          </w:tcPr>
          <w:p w:rsidR="00563807" w:rsidRPr="00C82AE0" w:rsidRDefault="00563807" w:rsidP="00B45DB9">
            <w:pPr>
              <w:tabs>
                <w:tab w:val="num" w:pos="1671"/>
              </w:tabs>
              <w:jc w:val="center"/>
              <w:rPr>
                <w:rFonts w:cs="Arial"/>
              </w:rPr>
            </w:pPr>
            <w:r>
              <w:rPr>
                <w:rFonts w:cs="Arial"/>
              </w:rPr>
              <w:t>Head of Commissioning and Performance</w:t>
            </w:r>
          </w:p>
        </w:tc>
        <w:tc>
          <w:tcPr>
            <w:tcW w:w="1783" w:type="dxa"/>
            <w:tcBorders>
              <w:top w:val="single" w:sz="4" w:space="0" w:color="auto"/>
              <w:left w:val="single" w:sz="4" w:space="0" w:color="auto"/>
              <w:bottom w:val="single" w:sz="4" w:space="0" w:color="auto"/>
              <w:right w:val="single" w:sz="4" w:space="0" w:color="auto"/>
            </w:tcBorders>
          </w:tcPr>
          <w:p w:rsidR="00563807" w:rsidRPr="0040382F" w:rsidRDefault="00563807" w:rsidP="00B45DB9">
            <w:pPr>
              <w:tabs>
                <w:tab w:val="num" w:pos="1671"/>
              </w:tabs>
              <w:jc w:val="center"/>
              <w:rPr>
                <w:rFonts w:cs="Arial"/>
              </w:rPr>
            </w:pPr>
            <w:r>
              <w:rPr>
                <w:rFonts w:cs="Arial"/>
              </w:rPr>
              <w:t xml:space="preserve">1, </w:t>
            </w:r>
            <w:r w:rsidRPr="0040382F">
              <w:rPr>
                <w:rFonts w:cs="Arial"/>
              </w:rPr>
              <w:t>5</w:t>
            </w:r>
          </w:p>
        </w:tc>
      </w:tr>
      <w:tr w:rsidR="00563807" w:rsidRPr="00680A11" w:rsidTr="00470E18">
        <w:trPr>
          <w:trHeight w:val="990"/>
        </w:trPr>
        <w:tc>
          <w:tcPr>
            <w:tcW w:w="3037" w:type="dxa"/>
            <w:tcBorders>
              <w:top w:val="single" w:sz="4" w:space="0" w:color="auto"/>
              <w:left w:val="single" w:sz="4" w:space="0" w:color="auto"/>
              <w:bottom w:val="single" w:sz="4" w:space="0" w:color="auto"/>
              <w:right w:val="single" w:sz="4" w:space="0" w:color="auto"/>
            </w:tcBorders>
            <w:shd w:val="clear" w:color="auto" w:fill="FFFFFF" w:themeFill="background1"/>
          </w:tcPr>
          <w:p w:rsidR="00563807" w:rsidRPr="00333661" w:rsidRDefault="00563807" w:rsidP="005A0CD3">
            <w:pPr>
              <w:pStyle w:val="ListBullet"/>
              <w:numPr>
                <w:ilvl w:val="0"/>
                <w:numId w:val="0"/>
              </w:numPr>
              <w:tabs>
                <w:tab w:val="left" w:pos="720"/>
              </w:tabs>
              <w:rPr>
                <w:rFonts w:ascii="Arial" w:hAnsi="Arial" w:cs="Arial"/>
                <w:sz w:val="22"/>
                <w:szCs w:val="22"/>
              </w:rPr>
            </w:pPr>
            <w:r>
              <w:rPr>
                <w:rFonts w:ascii="Arial" w:hAnsi="Arial" w:cs="Arial"/>
                <w:sz w:val="22"/>
                <w:szCs w:val="22"/>
              </w:rPr>
              <w:t>Improve support for carers with regards to financial wellbeing and ensure systems are in place to identify those carers who require financial support</w:t>
            </w:r>
          </w:p>
        </w:tc>
        <w:tc>
          <w:tcPr>
            <w:tcW w:w="4029" w:type="dxa"/>
            <w:tcBorders>
              <w:top w:val="single" w:sz="4" w:space="0" w:color="auto"/>
              <w:left w:val="single" w:sz="4" w:space="0" w:color="auto"/>
              <w:bottom w:val="single" w:sz="4" w:space="0" w:color="auto"/>
              <w:right w:val="single" w:sz="4" w:space="0" w:color="auto"/>
            </w:tcBorders>
          </w:tcPr>
          <w:p w:rsidR="00563807" w:rsidRDefault="00563807" w:rsidP="00B45DB9">
            <w:pPr>
              <w:tabs>
                <w:tab w:val="num" w:pos="1671"/>
              </w:tabs>
              <w:rPr>
                <w:rFonts w:cs="Arial"/>
              </w:rPr>
            </w:pPr>
            <w:r>
              <w:rPr>
                <w:rFonts w:cs="Arial"/>
              </w:rPr>
              <w:t>Provide dedicated financial wellbeing support to carers</w:t>
            </w:r>
          </w:p>
        </w:tc>
        <w:tc>
          <w:tcPr>
            <w:tcW w:w="3333" w:type="dxa"/>
            <w:tcBorders>
              <w:top w:val="single" w:sz="4" w:space="0" w:color="auto"/>
              <w:left w:val="single" w:sz="4" w:space="0" w:color="auto"/>
              <w:bottom w:val="single" w:sz="4" w:space="0" w:color="auto"/>
              <w:right w:val="single" w:sz="4" w:space="0" w:color="auto"/>
            </w:tcBorders>
          </w:tcPr>
          <w:p w:rsidR="00563807" w:rsidRPr="007D13B4" w:rsidRDefault="00563807" w:rsidP="00B45DB9">
            <w:pPr>
              <w:jc w:val="center"/>
              <w:rPr>
                <w:rFonts w:cs="Arial"/>
              </w:rPr>
            </w:pPr>
            <w:r>
              <w:rPr>
                <w:rFonts w:cs="Arial"/>
              </w:rPr>
              <w:t>Ongoing</w:t>
            </w:r>
          </w:p>
        </w:tc>
        <w:tc>
          <w:tcPr>
            <w:tcW w:w="1766" w:type="dxa"/>
            <w:tcBorders>
              <w:top w:val="single" w:sz="4" w:space="0" w:color="auto"/>
              <w:left w:val="single" w:sz="4" w:space="0" w:color="auto"/>
              <w:bottom w:val="single" w:sz="4" w:space="0" w:color="auto"/>
              <w:right w:val="single" w:sz="4" w:space="0" w:color="auto"/>
            </w:tcBorders>
          </w:tcPr>
          <w:p w:rsidR="00563807" w:rsidRPr="00C82AE0" w:rsidRDefault="00563807" w:rsidP="00B45DB9">
            <w:pPr>
              <w:tabs>
                <w:tab w:val="num" w:pos="1671"/>
              </w:tabs>
              <w:jc w:val="center"/>
              <w:rPr>
                <w:rFonts w:cs="Arial"/>
              </w:rPr>
            </w:pPr>
            <w:r>
              <w:rPr>
                <w:rFonts w:cs="Arial"/>
              </w:rPr>
              <w:t>Head of Commissioning and Performance</w:t>
            </w:r>
          </w:p>
        </w:tc>
        <w:tc>
          <w:tcPr>
            <w:tcW w:w="1783" w:type="dxa"/>
            <w:tcBorders>
              <w:top w:val="single" w:sz="4" w:space="0" w:color="auto"/>
              <w:left w:val="single" w:sz="4" w:space="0" w:color="auto"/>
              <w:bottom w:val="single" w:sz="4" w:space="0" w:color="auto"/>
              <w:right w:val="single" w:sz="4" w:space="0" w:color="auto"/>
            </w:tcBorders>
          </w:tcPr>
          <w:p w:rsidR="00563807" w:rsidRPr="0040382F" w:rsidRDefault="00563807" w:rsidP="00B45DB9">
            <w:pPr>
              <w:tabs>
                <w:tab w:val="num" w:pos="1671"/>
              </w:tabs>
              <w:jc w:val="center"/>
              <w:rPr>
                <w:rFonts w:cs="Arial"/>
              </w:rPr>
            </w:pPr>
            <w:r>
              <w:rPr>
                <w:rFonts w:cs="Arial"/>
              </w:rPr>
              <w:t xml:space="preserve">1, </w:t>
            </w:r>
            <w:r w:rsidRPr="0040382F">
              <w:rPr>
                <w:rFonts w:cs="Arial"/>
              </w:rPr>
              <w:t>5</w:t>
            </w:r>
          </w:p>
        </w:tc>
      </w:tr>
    </w:tbl>
    <w:p w:rsidR="001E35C1" w:rsidRDefault="001E35C1" w:rsidP="00B45DB9">
      <w:pPr>
        <w:rPr>
          <w:rFonts w:cs="Arial"/>
        </w:rPr>
      </w:pPr>
    </w:p>
    <w:p w:rsidR="0092561F" w:rsidRPr="00CA61BB" w:rsidRDefault="0092561F" w:rsidP="0092561F">
      <w:pPr>
        <w:pStyle w:val="ListParagraph"/>
        <w:numPr>
          <w:ilvl w:val="0"/>
          <w:numId w:val="37"/>
        </w:numPr>
        <w:rPr>
          <w:rFonts w:cs="Arial"/>
          <w:b/>
        </w:rPr>
      </w:pPr>
      <w:r w:rsidRPr="00CA61BB">
        <w:rPr>
          <w:rFonts w:cs="Arial"/>
          <w:b/>
        </w:rPr>
        <w:t>Family focused inc</w:t>
      </w:r>
      <w:r w:rsidR="005A0CD3">
        <w:rPr>
          <w:rFonts w:cs="Arial"/>
          <w:b/>
        </w:rPr>
        <w:t>lusion strategy</w:t>
      </w:r>
      <w:r w:rsidR="005A0CD3">
        <w:rPr>
          <w:rFonts w:cs="Arial"/>
          <w:b/>
        </w:rPr>
        <w:tab/>
      </w:r>
      <w:r w:rsidR="005A0CD3">
        <w:rPr>
          <w:rFonts w:cs="Arial"/>
          <w:b/>
        </w:rPr>
        <w:tab/>
      </w:r>
      <w:r w:rsidR="005A0CD3">
        <w:rPr>
          <w:rFonts w:cs="Arial"/>
          <w:b/>
        </w:rPr>
        <w:tab/>
      </w:r>
      <w:r w:rsidR="005A0CD3">
        <w:rPr>
          <w:rFonts w:cs="Arial"/>
          <w:b/>
        </w:rPr>
        <w:tab/>
      </w:r>
      <w:r w:rsidR="005A0CD3">
        <w:rPr>
          <w:rFonts w:cs="Arial"/>
          <w:b/>
        </w:rPr>
        <w:tab/>
        <w:t>5</w:t>
      </w:r>
      <w:r w:rsidR="005A0CD3">
        <w:rPr>
          <w:rFonts w:cs="Arial"/>
          <w:b/>
        </w:rPr>
        <w:tab/>
        <w:t>Tackling h</w:t>
      </w:r>
      <w:r w:rsidRPr="00CA61BB">
        <w:rPr>
          <w:rFonts w:cs="Arial"/>
          <w:b/>
        </w:rPr>
        <w:t>ealth inequalities</w:t>
      </w:r>
    </w:p>
    <w:p w:rsidR="0092561F" w:rsidRPr="00CA61BB" w:rsidRDefault="005A0CD3" w:rsidP="00421541">
      <w:pPr>
        <w:pStyle w:val="ListParagraph"/>
        <w:numPr>
          <w:ilvl w:val="0"/>
          <w:numId w:val="37"/>
        </w:numPr>
        <w:rPr>
          <w:rFonts w:cs="Arial"/>
          <w:b/>
        </w:rPr>
      </w:pPr>
      <w:r>
        <w:rPr>
          <w:rFonts w:cs="Arial"/>
          <w:b/>
        </w:rPr>
        <w:t>Supporting employment/</w:t>
      </w:r>
      <w:r w:rsidR="0092561F" w:rsidRPr="00CA61BB">
        <w:rPr>
          <w:rFonts w:cs="Arial"/>
          <w:b/>
        </w:rPr>
        <w:t>childcare</w:t>
      </w:r>
      <w:r w:rsidR="0092561F" w:rsidRPr="00CA61BB">
        <w:rPr>
          <w:rFonts w:cs="Arial"/>
          <w:b/>
        </w:rPr>
        <w:tab/>
      </w:r>
      <w:r>
        <w:rPr>
          <w:rFonts w:cs="Arial"/>
          <w:b/>
        </w:rPr>
        <w:tab/>
      </w:r>
      <w:r w:rsidR="0092561F" w:rsidRPr="00CA61BB">
        <w:rPr>
          <w:rFonts w:cs="Arial"/>
          <w:b/>
        </w:rPr>
        <w:tab/>
      </w:r>
      <w:r w:rsidR="0092561F" w:rsidRPr="00CA61BB">
        <w:rPr>
          <w:rFonts w:cs="Arial"/>
          <w:b/>
        </w:rPr>
        <w:tab/>
      </w:r>
      <w:r w:rsidR="0092561F">
        <w:rPr>
          <w:rFonts w:cs="Arial"/>
          <w:b/>
        </w:rPr>
        <w:tab/>
      </w:r>
      <w:r w:rsidR="0092561F" w:rsidRPr="00CA61BB">
        <w:rPr>
          <w:rFonts w:cs="Arial"/>
          <w:b/>
        </w:rPr>
        <w:t>6</w:t>
      </w:r>
      <w:r w:rsidR="0092561F" w:rsidRPr="00CA61BB">
        <w:rPr>
          <w:rFonts w:cs="Arial"/>
          <w:b/>
        </w:rPr>
        <w:tab/>
        <w:t>Supporting safeguarding measures</w:t>
      </w:r>
    </w:p>
    <w:p w:rsidR="0092561F" w:rsidRPr="00CA61BB" w:rsidRDefault="0092561F" w:rsidP="00421541">
      <w:pPr>
        <w:pStyle w:val="ListParagraph"/>
        <w:numPr>
          <w:ilvl w:val="0"/>
          <w:numId w:val="37"/>
        </w:numPr>
        <w:rPr>
          <w:rFonts w:cs="Arial"/>
          <w:b/>
        </w:rPr>
      </w:pPr>
      <w:r w:rsidRPr="00CA61BB">
        <w:rPr>
          <w:rFonts w:cs="Arial"/>
          <w:b/>
        </w:rPr>
        <w:t>Improving housing quality</w:t>
      </w:r>
      <w:r w:rsidRPr="00CA61BB">
        <w:rPr>
          <w:rFonts w:cs="Arial"/>
          <w:b/>
        </w:rPr>
        <w:tab/>
      </w:r>
      <w:r w:rsidRPr="00CA61BB">
        <w:rPr>
          <w:rFonts w:cs="Arial"/>
          <w:b/>
        </w:rPr>
        <w:tab/>
      </w:r>
      <w:r w:rsidRPr="00CA61BB">
        <w:rPr>
          <w:rFonts w:cs="Arial"/>
          <w:b/>
        </w:rPr>
        <w:tab/>
      </w:r>
      <w:r w:rsidRPr="00CA61BB">
        <w:rPr>
          <w:rFonts w:cs="Arial"/>
          <w:b/>
        </w:rPr>
        <w:tab/>
      </w:r>
      <w:r w:rsidRPr="00CA61BB">
        <w:rPr>
          <w:rFonts w:cs="Arial"/>
          <w:b/>
        </w:rPr>
        <w:tab/>
      </w:r>
      <w:r w:rsidRPr="00CA61BB">
        <w:rPr>
          <w:rFonts w:cs="Arial"/>
          <w:b/>
        </w:rPr>
        <w:tab/>
        <w:t>7</w:t>
      </w:r>
      <w:r w:rsidRPr="00CA61BB">
        <w:rPr>
          <w:rFonts w:cs="Arial"/>
          <w:b/>
        </w:rPr>
        <w:tab/>
        <w:t>Improving local environment</w:t>
      </w:r>
    </w:p>
    <w:p w:rsidR="0092561F" w:rsidRPr="00CA61BB" w:rsidRDefault="0092561F" w:rsidP="00421541">
      <w:pPr>
        <w:pStyle w:val="ListParagraph"/>
        <w:numPr>
          <w:ilvl w:val="0"/>
          <w:numId w:val="37"/>
        </w:numPr>
        <w:rPr>
          <w:rFonts w:cs="Arial"/>
          <w:b/>
        </w:rPr>
      </w:pPr>
      <w:r w:rsidRPr="00CA61BB">
        <w:rPr>
          <w:rFonts w:cs="Arial"/>
          <w:b/>
        </w:rPr>
        <w:t>Supporting education, skills, development – young people</w:t>
      </w:r>
    </w:p>
    <w:p w:rsidR="0092561F" w:rsidRDefault="0092561F" w:rsidP="00421541">
      <w:pPr>
        <w:pStyle w:val="ListParagraph"/>
        <w:ind w:left="0"/>
        <w:rPr>
          <w:rFonts w:cs="Arial"/>
        </w:rPr>
      </w:pPr>
    </w:p>
    <w:sectPr w:rsidR="0092561F" w:rsidSect="008B658D">
      <w:pgSz w:w="16838" w:h="11906" w:orient="landscape"/>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F9A" w:rsidRDefault="000E4F9A" w:rsidP="00FA10A6">
      <w:r>
        <w:separator/>
      </w:r>
    </w:p>
  </w:endnote>
  <w:endnote w:type="continuationSeparator" w:id="0">
    <w:p w:rsidR="000E4F9A" w:rsidRDefault="000E4F9A" w:rsidP="00FA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9358"/>
      <w:docPartObj>
        <w:docPartGallery w:val="Page Numbers (Bottom of Page)"/>
        <w:docPartUnique/>
      </w:docPartObj>
    </w:sdtPr>
    <w:sdtEndPr/>
    <w:sdtContent>
      <w:p w:rsidR="000E4F9A" w:rsidRDefault="000E4F9A">
        <w:pPr>
          <w:pStyle w:val="Footer"/>
          <w:jc w:val="right"/>
        </w:pPr>
        <w:r>
          <w:fldChar w:fldCharType="begin"/>
        </w:r>
        <w:r>
          <w:instrText xml:space="preserve"> PAGE   \* MERGEFORMAT </w:instrText>
        </w:r>
        <w:r>
          <w:fldChar w:fldCharType="separate"/>
        </w:r>
        <w:r w:rsidR="001A2FFC">
          <w:rPr>
            <w:noProof/>
          </w:rPr>
          <w:t>4</w:t>
        </w:r>
        <w:r>
          <w:rPr>
            <w:noProof/>
          </w:rPr>
          <w:fldChar w:fldCharType="end"/>
        </w:r>
      </w:p>
    </w:sdtContent>
  </w:sdt>
  <w:p w:rsidR="000E4F9A" w:rsidRDefault="000E4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F9A" w:rsidRDefault="000E4F9A" w:rsidP="00FA10A6">
      <w:r>
        <w:separator/>
      </w:r>
    </w:p>
  </w:footnote>
  <w:footnote w:type="continuationSeparator" w:id="0">
    <w:p w:rsidR="000E4F9A" w:rsidRDefault="000E4F9A" w:rsidP="00FA1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9E90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35757"/>
    <w:multiLevelType w:val="hybridMultilevel"/>
    <w:tmpl w:val="E036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704D6"/>
    <w:multiLevelType w:val="hybridMultilevel"/>
    <w:tmpl w:val="EE5CD234"/>
    <w:lvl w:ilvl="0" w:tplc="13B45C66">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2D43A6E"/>
    <w:multiLevelType w:val="multilevel"/>
    <w:tmpl w:val="7464C106"/>
    <w:styleLink w:val="StyleNumbered1"/>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7B01F1D"/>
    <w:multiLevelType w:val="hybridMultilevel"/>
    <w:tmpl w:val="B10241BE"/>
    <w:lvl w:ilvl="0" w:tplc="13B45C66">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BEC09F6"/>
    <w:multiLevelType w:val="hybridMultilevel"/>
    <w:tmpl w:val="C4B85C1E"/>
    <w:lvl w:ilvl="0" w:tplc="D994AF32">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A2255"/>
    <w:multiLevelType w:val="hybridMultilevel"/>
    <w:tmpl w:val="9FC01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26280F"/>
    <w:multiLevelType w:val="hybridMultilevel"/>
    <w:tmpl w:val="F634E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2322F9"/>
    <w:multiLevelType w:val="hybridMultilevel"/>
    <w:tmpl w:val="AA8EA07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DB7E9F"/>
    <w:multiLevelType w:val="hybridMultilevel"/>
    <w:tmpl w:val="19A41F7C"/>
    <w:lvl w:ilvl="0" w:tplc="3BBC1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8F65B0"/>
    <w:multiLevelType w:val="hybridMultilevel"/>
    <w:tmpl w:val="C4B85C1E"/>
    <w:lvl w:ilvl="0" w:tplc="D994AF32">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07DFC"/>
    <w:multiLevelType w:val="multilevel"/>
    <w:tmpl w:val="8AB4AB34"/>
    <w:styleLink w:val="StyleBulletedSymbolsymbolLeft05Hanging025"/>
    <w:lvl w:ilvl="0">
      <w:start w:val="1"/>
      <w:numFmt w:val="bullet"/>
      <w:lvlText w:val=""/>
      <w:lvlJc w:val="left"/>
      <w:pPr>
        <w:tabs>
          <w:tab w:val="num" w:pos="1080"/>
        </w:tabs>
        <w:ind w:left="1080" w:hanging="360"/>
      </w:pPr>
      <w:rPr>
        <w:rFonts w:ascii="Symbol" w:hAnsi="Symbol" w:hint="default"/>
        <w:sz w:val="24"/>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E04CC6"/>
    <w:multiLevelType w:val="hybridMultilevel"/>
    <w:tmpl w:val="3DA6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01010B"/>
    <w:multiLevelType w:val="hybridMultilevel"/>
    <w:tmpl w:val="4D066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08216F2"/>
    <w:multiLevelType w:val="hybridMultilevel"/>
    <w:tmpl w:val="DA30119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31652BB5"/>
    <w:multiLevelType w:val="hybridMultilevel"/>
    <w:tmpl w:val="E36AF740"/>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1960FF5"/>
    <w:multiLevelType w:val="hybridMultilevel"/>
    <w:tmpl w:val="C4B85C1E"/>
    <w:lvl w:ilvl="0" w:tplc="D994AF32">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A40625"/>
    <w:multiLevelType w:val="hybridMultilevel"/>
    <w:tmpl w:val="C4F2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A5828"/>
    <w:multiLevelType w:val="hybridMultilevel"/>
    <w:tmpl w:val="A86E2836"/>
    <w:lvl w:ilvl="0" w:tplc="34C03C38">
      <w:start w:val="1"/>
      <w:numFmt w:val="decimal"/>
      <w:lvlText w:val="%1."/>
      <w:lvlJc w:val="left"/>
      <w:pPr>
        <w:ind w:left="4755" w:hanging="360"/>
      </w:pPr>
      <w:rPr>
        <w:rFonts w:hint="default"/>
      </w:r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19" w15:restartNumberingAfterBreak="0">
    <w:nsid w:val="337C5B1C"/>
    <w:multiLevelType w:val="hybridMultilevel"/>
    <w:tmpl w:val="2670EE5C"/>
    <w:lvl w:ilvl="0" w:tplc="13B45C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26241"/>
    <w:multiLevelType w:val="hybridMultilevel"/>
    <w:tmpl w:val="6BE2449A"/>
    <w:lvl w:ilvl="0" w:tplc="E640BA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D77E3"/>
    <w:multiLevelType w:val="hybridMultilevel"/>
    <w:tmpl w:val="407C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FF1201"/>
    <w:multiLevelType w:val="hybridMultilevel"/>
    <w:tmpl w:val="C878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20DEA"/>
    <w:multiLevelType w:val="hybridMultilevel"/>
    <w:tmpl w:val="01E2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FE0BA1"/>
    <w:multiLevelType w:val="multilevel"/>
    <w:tmpl w:val="08090023"/>
    <w:styleLink w:val="ArticleSection"/>
    <w:lvl w:ilvl="0">
      <w:start w:val="1"/>
      <w:numFmt w:val="lowerLetter"/>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A1251F0"/>
    <w:multiLevelType w:val="hybridMultilevel"/>
    <w:tmpl w:val="7874655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844E2B"/>
    <w:multiLevelType w:val="hybridMultilevel"/>
    <w:tmpl w:val="C4B85C1E"/>
    <w:lvl w:ilvl="0" w:tplc="D994AF32">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2B1569"/>
    <w:multiLevelType w:val="hybridMultilevel"/>
    <w:tmpl w:val="1EAAC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657F7"/>
    <w:multiLevelType w:val="hybridMultilevel"/>
    <w:tmpl w:val="87DE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0A1FCA"/>
    <w:multiLevelType w:val="hybridMultilevel"/>
    <w:tmpl w:val="99FCFC3C"/>
    <w:lvl w:ilvl="0" w:tplc="13B45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327206"/>
    <w:multiLevelType w:val="hybridMultilevel"/>
    <w:tmpl w:val="C4B85C1E"/>
    <w:lvl w:ilvl="0" w:tplc="D994AF32">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431A5D"/>
    <w:multiLevelType w:val="hybridMultilevel"/>
    <w:tmpl w:val="055E5D7C"/>
    <w:lvl w:ilvl="0" w:tplc="13B45C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2264B"/>
    <w:multiLevelType w:val="hybridMultilevel"/>
    <w:tmpl w:val="4752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431EBF"/>
    <w:multiLevelType w:val="hybridMultilevel"/>
    <w:tmpl w:val="1130BFA6"/>
    <w:lvl w:ilvl="0" w:tplc="13B45C66">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B3C235D"/>
    <w:multiLevelType w:val="hybridMultilevel"/>
    <w:tmpl w:val="AC88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2F3A4D"/>
    <w:multiLevelType w:val="hybridMultilevel"/>
    <w:tmpl w:val="F23CA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593A98"/>
    <w:multiLevelType w:val="hybridMultilevel"/>
    <w:tmpl w:val="A4A60B86"/>
    <w:lvl w:ilvl="0" w:tplc="13B45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76544B"/>
    <w:multiLevelType w:val="hybridMultilevel"/>
    <w:tmpl w:val="F30EDF9A"/>
    <w:lvl w:ilvl="0" w:tplc="B7AAAA5A">
      <w:start w:val="1"/>
      <w:numFmt w:val="decimal"/>
      <w:lvlText w:val="%1"/>
      <w:lvlJc w:val="left"/>
      <w:pPr>
        <w:ind w:left="1800" w:hanging="144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08284A"/>
    <w:multiLevelType w:val="hybridMultilevel"/>
    <w:tmpl w:val="BA7464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C0B7FF8"/>
    <w:multiLevelType w:val="hybridMultilevel"/>
    <w:tmpl w:val="5B5A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C3C84"/>
    <w:multiLevelType w:val="hybridMultilevel"/>
    <w:tmpl w:val="8F1ED3C4"/>
    <w:lvl w:ilvl="0" w:tplc="08090011">
      <w:start w:val="1"/>
      <w:numFmt w:val="decimal"/>
      <w:lvlText w:val="%1)"/>
      <w:lvlJc w:val="left"/>
      <w:pPr>
        <w:ind w:left="475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0"/>
  </w:num>
  <w:num w:numId="3">
    <w:abstractNumId w:val="11"/>
  </w:num>
  <w:num w:numId="4">
    <w:abstractNumId w:val="3"/>
  </w:num>
  <w:num w:numId="5">
    <w:abstractNumId w:val="10"/>
  </w:num>
  <w:num w:numId="6">
    <w:abstractNumId w:val="5"/>
  </w:num>
  <w:num w:numId="7">
    <w:abstractNumId w:val="30"/>
  </w:num>
  <w:num w:numId="8">
    <w:abstractNumId w:val="16"/>
  </w:num>
  <w:num w:numId="9">
    <w:abstractNumId w:val="7"/>
  </w:num>
  <w:num w:numId="10">
    <w:abstractNumId w:val="38"/>
  </w:num>
  <w:num w:numId="11">
    <w:abstractNumId w:val="40"/>
  </w:num>
  <w:num w:numId="12">
    <w:abstractNumId w:val="36"/>
  </w:num>
  <w:num w:numId="13">
    <w:abstractNumId w:val="39"/>
  </w:num>
  <w:num w:numId="14">
    <w:abstractNumId w:val="17"/>
  </w:num>
  <w:num w:numId="15">
    <w:abstractNumId w:val="28"/>
  </w:num>
  <w:num w:numId="16">
    <w:abstractNumId w:val="22"/>
  </w:num>
  <w:num w:numId="17">
    <w:abstractNumId w:val="32"/>
  </w:num>
  <w:num w:numId="18">
    <w:abstractNumId w:val="20"/>
  </w:num>
  <w:num w:numId="19">
    <w:abstractNumId w:val="21"/>
  </w:num>
  <w:num w:numId="20">
    <w:abstractNumId w:val="6"/>
  </w:num>
  <w:num w:numId="21">
    <w:abstractNumId w:val="12"/>
  </w:num>
  <w:num w:numId="22">
    <w:abstractNumId w:val="35"/>
  </w:num>
  <w:num w:numId="23">
    <w:abstractNumId w:val="1"/>
  </w:num>
  <w:num w:numId="24">
    <w:abstractNumId w:val="23"/>
  </w:num>
  <w:num w:numId="25">
    <w:abstractNumId w:val="14"/>
  </w:num>
  <w:num w:numId="26">
    <w:abstractNumId w:val="34"/>
  </w:num>
  <w:num w:numId="27">
    <w:abstractNumId w:val="27"/>
  </w:num>
  <w:num w:numId="28">
    <w:abstractNumId w:val="25"/>
  </w:num>
  <w:num w:numId="29">
    <w:abstractNumId w:val="8"/>
  </w:num>
  <w:num w:numId="30">
    <w:abstractNumId w:val="13"/>
  </w:num>
  <w:num w:numId="31">
    <w:abstractNumId w:val="29"/>
  </w:num>
  <w:num w:numId="32">
    <w:abstractNumId w:val="31"/>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7"/>
  </w:num>
  <w:num w:numId="36">
    <w:abstractNumId w:val="26"/>
  </w:num>
  <w:num w:numId="37">
    <w:abstractNumId w:val="9"/>
  </w:num>
  <w:num w:numId="38">
    <w:abstractNumId w:val="18"/>
  </w:num>
  <w:num w:numId="39">
    <w:abstractNumId w:val="19"/>
  </w:num>
  <w:num w:numId="40">
    <w:abstractNumId w:val="2"/>
  </w:num>
  <w:num w:numId="41">
    <w:abstractNumId w:val="33"/>
  </w:num>
  <w:num w:numId="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02"/>
    <w:rsid w:val="0000156A"/>
    <w:rsid w:val="00003376"/>
    <w:rsid w:val="00003530"/>
    <w:rsid w:val="00007AB2"/>
    <w:rsid w:val="00007D9C"/>
    <w:rsid w:val="00010AF7"/>
    <w:rsid w:val="000118D0"/>
    <w:rsid w:val="000124A8"/>
    <w:rsid w:val="00014A5F"/>
    <w:rsid w:val="00014A76"/>
    <w:rsid w:val="000202C8"/>
    <w:rsid w:val="00022D0C"/>
    <w:rsid w:val="000235D3"/>
    <w:rsid w:val="000272DE"/>
    <w:rsid w:val="00027E45"/>
    <w:rsid w:val="00034F5C"/>
    <w:rsid w:val="0004767A"/>
    <w:rsid w:val="0005068A"/>
    <w:rsid w:val="00050982"/>
    <w:rsid w:val="00050FA8"/>
    <w:rsid w:val="00053771"/>
    <w:rsid w:val="000550C9"/>
    <w:rsid w:val="000558AD"/>
    <w:rsid w:val="0005592E"/>
    <w:rsid w:val="00056A8E"/>
    <w:rsid w:val="00057E78"/>
    <w:rsid w:val="00064A40"/>
    <w:rsid w:val="000664CD"/>
    <w:rsid w:val="0007492B"/>
    <w:rsid w:val="0008226B"/>
    <w:rsid w:val="00092078"/>
    <w:rsid w:val="00093665"/>
    <w:rsid w:val="000A11A3"/>
    <w:rsid w:val="000A2276"/>
    <w:rsid w:val="000A4A17"/>
    <w:rsid w:val="000B1464"/>
    <w:rsid w:val="000B1AC3"/>
    <w:rsid w:val="000B3361"/>
    <w:rsid w:val="000B34A2"/>
    <w:rsid w:val="000B5AE1"/>
    <w:rsid w:val="000B78A3"/>
    <w:rsid w:val="000C70D0"/>
    <w:rsid w:val="000D0847"/>
    <w:rsid w:val="000D0945"/>
    <w:rsid w:val="000D1957"/>
    <w:rsid w:val="000D1DB4"/>
    <w:rsid w:val="000E18F6"/>
    <w:rsid w:val="000E4F9A"/>
    <w:rsid w:val="000F3070"/>
    <w:rsid w:val="000F7FD8"/>
    <w:rsid w:val="00100117"/>
    <w:rsid w:val="00102B8E"/>
    <w:rsid w:val="00102BF7"/>
    <w:rsid w:val="001073C4"/>
    <w:rsid w:val="0010762E"/>
    <w:rsid w:val="00125CBD"/>
    <w:rsid w:val="00126E7F"/>
    <w:rsid w:val="00131B30"/>
    <w:rsid w:val="001336EA"/>
    <w:rsid w:val="00134856"/>
    <w:rsid w:val="00135685"/>
    <w:rsid w:val="0013611E"/>
    <w:rsid w:val="0013627F"/>
    <w:rsid w:val="00140736"/>
    <w:rsid w:val="001448F2"/>
    <w:rsid w:val="00144A08"/>
    <w:rsid w:val="00145469"/>
    <w:rsid w:val="001550EB"/>
    <w:rsid w:val="00157F07"/>
    <w:rsid w:val="00161162"/>
    <w:rsid w:val="00162930"/>
    <w:rsid w:val="00163BBF"/>
    <w:rsid w:val="00164F24"/>
    <w:rsid w:val="00164F38"/>
    <w:rsid w:val="00167A04"/>
    <w:rsid w:val="00174912"/>
    <w:rsid w:val="00195DE4"/>
    <w:rsid w:val="00197E69"/>
    <w:rsid w:val="001A2FFC"/>
    <w:rsid w:val="001A4D17"/>
    <w:rsid w:val="001A7100"/>
    <w:rsid w:val="001A7F2C"/>
    <w:rsid w:val="001B1C9F"/>
    <w:rsid w:val="001B461B"/>
    <w:rsid w:val="001B52F3"/>
    <w:rsid w:val="001C1211"/>
    <w:rsid w:val="001C5091"/>
    <w:rsid w:val="001D7503"/>
    <w:rsid w:val="001E3102"/>
    <w:rsid w:val="001E33AA"/>
    <w:rsid w:val="001E35C1"/>
    <w:rsid w:val="001E3C70"/>
    <w:rsid w:val="001E706E"/>
    <w:rsid w:val="001F403D"/>
    <w:rsid w:val="001F48D4"/>
    <w:rsid w:val="001F50AC"/>
    <w:rsid w:val="001F66DE"/>
    <w:rsid w:val="001F696B"/>
    <w:rsid w:val="001F7CC1"/>
    <w:rsid w:val="001F7DF5"/>
    <w:rsid w:val="00203BD5"/>
    <w:rsid w:val="0021531E"/>
    <w:rsid w:val="0022029F"/>
    <w:rsid w:val="002207AC"/>
    <w:rsid w:val="00223FBC"/>
    <w:rsid w:val="00224C84"/>
    <w:rsid w:val="00233A87"/>
    <w:rsid w:val="00233E87"/>
    <w:rsid w:val="002369B8"/>
    <w:rsid w:val="00236DEC"/>
    <w:rsid w:val="00241857"/>
    <w:rsid w:val="002450BB"/>
    <w:rsid w:val="00251B95"/>
    <w:rsid w:val="00254A05"/>
    <w:rsid w:val="00261142"/>
    <w:rsid w:val="00276D14"/>
    <w:rsid w:val="00281826"/>
    <w:rsid w:val="0028472D"/>
    <w:rsid w:val="00285BF5"/>
    <w:rsid w:val="002865CB"/>
    <w:rsid w:val="00287025"/>
    <w:rsid w:val="00290259"/>
    <w:rsid w:val="00296160"/>
    <w:rsid w:val="002A0411"/>
    <w:rsid w:val="002A5331"/>
    <w:rsid w:val="002B01D8"/>
    <w:rsid w:val="002B2A55"/>
    <w:rsid w:val="002B3E47"/>
    <w:rsid w:val="002B5EB4"/>
    <w:rsid w:val="002D086E"/>
    <w:rsid w:val="002D0E70"/>
    <w:rsid w:val="002D3C14"/>
    <w:rsid w:val="002E1293"/>
    <w:rsid w:val="002E2744"/>
    <w:rsid w:val="002E4B52"/>
    <w:rsid w:val="002E4D4A"/>
    <w:rsid w:val="002F2F08"/>
    <w:rsid w:val="002F420B"/>
    <w:rsid w:val="002F6266"/>
    <w:rsid w:val="00315067"/>
    <w:rsid w:val="00315198"/>
    <w:rsid w:val="00316CB9"/>
    <w:rsid w:val="00322639"/>
    <w:rsid w:val="00322DEE"/>
    <w:rsid w:val="00324C06"/>
    <w:rsid w:val="00325902"/>
    <w:rsid w:val="00326BEB"/>
    <w:rsid w:val="00333661"/>
    <w:rsid w:val="00333CEB"/>
    <w:rsid w:val="003363E5"/>
    <w:rsid w:val="0034051E"/>
    <w:rsid w:val="00340825"/>
    <w:rsid w:val="00343064"/>
    <w:rsid w:val="0034345B"/>
    <w:rsid w:val="00346C19"/>
    <w:rsid w:val="003569B4"/>
    <w:rsid w:val="00362490"/>
    <w:rsid w:val="00362988"/>
    <w:rsid w:val="00362E0F"/>
    <w:rsid w:val="00364C9A"/>
    <w:rsid w:val="00366FEC"/>
    <w:rsid w:val="00370DD3"/>
    <w:rsid w:val="00373CCB"/>
    <w:rsid w:val="00375BFA"/>
    <w:rsid w:val="0038160C"/>
    <w:rsid w:val="00382E02"/>
    <w:rsid w:val="003913EA"/>
    <w:rsid w:val="003926A8"/>
    <w:rsid w:val="0039273D"/>
    <w:rsid w:val="00393642"/>
    <w:rsid w:val="003937AA"/>
    <w:rsid w:val="0039581F"/>
    <w:rsid w:val="003A4FBD"/>
    <w:rsid w:val="003B388B"/>
    <w:rsid w:val="003B50FD"/>
    <w:rsid w:val="003B696E"/>
    <w:rsid w:val="003C756D"/>
    <w:rsid w:val="003C7CE7"/>
    <w:rsid w:val="003D5F33"/>
    <w:rsid w:val="003D7174"/>
    <w:rsid w:val="003E050F"/>
    <w:rsid w:val="003E42BD"/>
    <w:rsid w:val="003E5945"/>
    <w:rsid w:val="003E7ACF"/>
    <w:rsid w:val="003F07FB"/>
    <w:rsid w:val="003F5D71"/>
    <w:rsid w:val="003F6214"/>
    <w:rsid w:val="0040014F"/>
    <w:rsid w:val="00402991"/>
    <w:rsid w:val="0040382F"/>
    <w:rsid w:val="00411B6A"/>
    <w:rsid w:val="00413B94"/>
    <w:rsid w:val="00416FBA"/>
    <w:rsid w:val="00421541"/>
    <w:rsid w:val="0042395C"/>
    <w:rsid w:val="004366F0"/>
    <w:rsid w:val="0043771F"/>
    <w:rsid w:val="00441C35"/>
    <w:rsid w:val="00442C69"/>
    <w:rsid w:val="0044601E"/>
    <w:rsid w:val="0045497C"/>
    <w:rsid w:val="00457719"/>
    <w:rsid w:val="00457CDC"/>
    <w:rsid w:val="00461B86"/>
    <w:rsid w:val="00466989"/>
    <w:rsid w:val="00466C03"/>
    <w:rsid w:val="00470E18"/>
    <w:rsid w:val="00471D4D"/>
    <w:rsid w:val="00472FAA"/>
    <w:rsid w:val="004806D7"/>
    <w:rsid w:val="0048363A"/>
    <w:rsid w:val="00483D56"/>
    <w:rsid w:val="00491BDD"/>
    <w:rsid w:val="004A0677"/>
    <w:rsid w:val="004A0B0B"/>
    <w:rsid w:val="004A2624"/>
    <w:rsid w:val="004C0134"/>
    <w:rsid w:val="004C3667"/>
    <w:rsid w:val="004C43C0"/>
    <w:rsid w:val="004C5342"/>
    <w:rsid w:val="004D18DA"/>
    <w:rsid w:val="004D22A4"/>
    <w:rsid w:val="004E2ED7"/>
    <w:rsid w:val="004E48AE"/>
    <w:rsid w:val="004E6DCA"/>
    <w:rsid w:val="004F523B"/>
    <w:rsid w:val="004F61CB"/>
    <w:rsid w:val="004F7D0F"/>
    <w:rsid w:val="005014EE"/>
    <w:rsid w:val="0050677D"/>
    <w:rsid w:val="005135DC"/>
    <w:rsid w:val="00515569"/>
    <w:rsid w:val="0052594C"/>
    <w:rsid w:val="00530B1F"/>
    <w:rsid w:val="00533B63"/>
    <w:rsid w:val="00541287"/>
    <w:rsid w:val="0054135A"/>
    <w:rsid w:val="00560F4C"/>
    <w:rsid w:val="00563212"/>
    <w:rsid w:val="00563807"/>
    <w:rsid w:val="005666D9"/>
    <w:rsid w:val="00575E9F"/>
    <w:rsid w:val="00584E7E"/>
    <w:rsid w:val="005852C1"/>
    <w:rsid w:val="0058603E"/>
    <w:rsid w:val="00587363"/>
    <w:rsid w:val="00587D3A"/>
    <w:rsid w:val="00590165"/>
    <w:rsid w:val="0059259E"/>
    <w:rsid w:val="00596943"/>
    <w:rsid w:val="005A0CD3"/>
    <w:rsid w:val="005A428D"/>
    <w:rsid w:val="005A5F5D"/>
    <w:rsid w:val="005B2BFC"/>
    <w:rsid w:val="005B4B52"/>
    <w:rsid w:val="005B64A1"/>
    <w:rsid w:val="005B64EB"/>
    <w:rsid w:val="005B6DB8"/>
    <w:rsid w:val="005C0F8C"/>
    <w:rsid w:val="005C1ACA"/>
    <w:rsid w:val="005C567D"/>
    <w:rsid w:val="005D0EDA"/>
    <w:rsid w:val="005D12D2"/>
    <w:rsid w:val="005D28CD"/>
    <w:rsid w:val="005D37BD"/>
    <w:rsid w:val="005E2478"/>
    <w:rsid w:val="005E2599"/>
    <w:rsid w:val="005E6314"/>
    <w:rsid w:val="005F1E2B"/>
    <w:rsid w:val="005F718E"/>
    <w:rsid w:val="00600244"/>
    <w:rsid w:val="00601ADE"/>
    <w:rsid w:val="00602D8C"/>
    <w:rsid w:val="00603035"/>
    <w:rsid w:val="006101A7"/>
    <w:rsid w:val="006117F9"/>
    <w:rsid w:val="0061266B"/>
    <w:rsid w:val="00616E63"/>
    <w:rsid w:val="00620F72"/>
    <w:rsid w:val="00624A53"/>
    <w:rsid w:val="00632978"/>
    <w:rsid w:val="006336E8"/>
    <w:rsid w:val="00633D92"/>
    <w:rsid w:val="00636A9E"/>
    <w:rsid w:val="00636DF8"/>
    <w:rsid w:val="00641012"/>
    <w:rsid w:val="00645706"/>
    <w:rsid w:val="00647065"/>
    <w:rsid w:val="00650B7D"/>
    <w:rsid w:val="00661376"/>
    <w:rsid w:val="00666E5C"/>
    <w:rsid w:val="0067351B"/>
    <w:rsid w:val="00677DF8"/>
    <w:rsid w:val="00683EC7"/>
    <w:rsid w:val="00685B32"/>
    <w:rsid w:val="00685BAB"/>
    <w:rsid w:val="00691D71"/>
    <w:rsid w:val="00693CF5"/>
    <w:rsid w:val="0069719A"/>
    <w:rsid w:val="00697FB1"/>
    <w:rsid w:val="006A0A07"/>
    <w:rsid w:val="006A1D9B"/>
    <w:rsid w:val="006A2E35"/>
    <w:rsid w:val="006B090B"/>
    <w:rsid w:val="006B1AB9"/>
    <w:rsid w:val="006B31E0"/>
    <w:rsid w:val="006B580C"/>
    <w:rsid w:val="006B58DB"/>
    <w:rsid w:val="006B6613"/>
    <w:rsid w:val="006D68C3"/>
    <w:rsid w:val="006E1F8B"/>
    <w:rsid w:val="006E5FA5"/>
    <w:rsid w:val="006E766A"/>
    <w:rsid w:val="006E771A"/>
    <w:rsid w:val="006F0A74"/>
    <w:rsid w:val="00701B39"/>
    <w:rsid w:val="00710066"/>
    <w:rsid w:val="007113F1"/>
    <w:rsid w:val="00712606"/>
    <w:rsid w:val="00712BB9"/>
    <w:rsid w:val="007134AF"/>
    <w:rsid w:val="00713653"/>
    <w:rsid w:val="007204D8"/>
    <w:rsid w:val="007313F2"/>
    <w:rsid w:val="00732D52"/>
    <w:rsid w:val="007344B1"/>
    <w:rsid w:val="00736EC7"/>
    <w:rsid w:val="007455F5"/>
    <w:rsid w:val="00754A29"/>
    <w:rsid w:val="00755BC0"/>
    <w:rsid w:val="00756285"/>
    <w:rsid w:val="007569E2"/>
    <w:rsid w:val="00756B2E"/>
    <w:rsid w:val="007575AA"/>
    <w:rsid w:val="00757C29"/>
    <w:rsid w:val="00761B69"/>
    <w:rsid w:val="0076316E"/>
    <w:rsid w:val="00763BD7"/>
    <w:rsid w:val="00764244"/>
    <w:rsid w:val="0076706C"/>
    <w:rsid w:val="007679FD"/>
    <w:rsid w:val="007719AE"/>
    <w:rsid w:val="00772053"/>
    <w:rsid w:val="00773970"/>
    <w:rsid w:val="00787980"/>
    <w:rsid w:val="00787F39"/>
    <w:rsid w:val="00791935"/>
    <w:rsid w:val="00795E98"/>
    <w:rsid w:val="00797F55"/>
    <w:rsid w:val="007A0416"/>
    <w:rsid w:val="007A29DE"/>
    <w:rsid w:val="007C0187"/>
    <w:rsid w:val="007D13B4"/>
    <w:rsid w:val="007D2DDB"/>
    <w:rsid w:val="007D687B"/>
    <w:rsid w:val="007E07F7"/>
    <w:rsid w:val="007E0838"/>
    <w:rsid w:val="007E1359"/>
    <w:rsid w:val="007E3802"/>
    <w:rsid w:val="007E3CCB"/>
    <w:rsid w:val="007E4F48"/>
    <w:rsid w:val="007E5158"/>
    <w:rsid w:val="007F07F4"/>
    <w:rsid w:val="007F0810"/>
    <w:rsid w:val="007F1AB6"/>
    <w:rsid w:val="0080333A"/>
    <w:rsid w:val="008063A7"/>
    <w:rsid w:val="00806620"/>
    <w:rsid w:val="008103F0"/>
    <w:rsid w:val="00816A87"/>
    <w:rsid w:val="00822BF1"/>
    <w:rsid w:val="00824404"/>
    <w:rsid w:val="008267B0"/>
    <w:rsid w:val="0083597B"/>
    <w:rsid w:val="008431AA"/>
    <w:rsid w:val="008432E7"/>
    <w:rsid w:val="0084381F"/>
    <w:rsid w:val="00845498"/>
    <w:rsid w:val="00852BD6"/>
    <w:rsid w:val="00853478"/>
    <w:rsid w:val="00856671"/>
    <w:rsid w:val="008570FB"/>
    <w:rsid w:val="00860B31"/>
    <w:rsid w:val="00860BDE"/>
    <w:rsid w:val="00864E86"/>
    <w:rsid w:val="00865F14"/>
    <w:rsid w:val="008667AA"/>
    <w:rsid w:val="00870AD6"/>
    <w:rsid w:val="00871A29"/>
    <w:rsid w:val="00871D33"/>
    <w:rsid w:val="008733D6"/>
    <w:rsid w:val="00874F71"/>
    <w:rsid w:val="00875E32"/>
    <w:rsid w:val="00882BE6"/>
    <w:rsid w:val="00886FC1"/>
    <w:rsid w:val="00893157"/>
    <w:rsid w:val="00893573"/>
    <w:rsid w:val="00895222"/>
    <w:rsid w:val="008952ED"/>
    <w:rsid w:val="0089568B"/>
    <w:rsid w:val="00896C22"/>
    <w:rsid w:val="008970C7"/>
    <w:rsid w:val="00897E62"/>
    <w:rsid w:val="008A2450"/>
    <w:rsid w:val="008A2BA2"/>
    <w:rsid w:val="008A2D18"/>
    <w:rsid w:val="008A472A"/>
    <w:rsid w:val="008B658D"/>
    <w:rsid w:val="008C0A1A"/>
    <w:rsid w:val="008C6553"/>
    <w:rsid w:val="008D0079"/>
    <w:rsid w:val="008D00B7"/>
    <w:rsid w:val="008D177A"/>
    <w:rsid w:val="008D1AE6"/>
    <w:rsid w:val="008D3A3A"/>
    <w:rsid w:val="008D6B68"/>
    <w:rsid w:val="008E0AD6"/>
    <w:rsid w:val="008E1EA0"/>
    <w:rsid w:val="008E3174"/>
    <w:rsid w:val="008E3625"/>
    <w:rsid w:val="008E625D"/>
    <w:rsid w:val="008E667D"/>
    <w:rsid w:val="008E6691"/>
    <w:rsid w:val="008E71EC"/>
    <w:rsid w:val="008E75DC"/>
    <w:rsid w:val="008F4258"/>
    <w:rsid w:val="00906DBE"/>
    <w:rsid w:val="00911676"/>
    <w:rsid w:val="009132E5"/>
    <w:rsid w:val="0092561F"/>
    <w:rsid w:val="00925B32"/>
    <w:rsid w:val="0092772E"/>
    <w:rsid w:val="0093190A"/>
    <w:rsid w:val="0093204E"/>
    <w:rsid w:val="0093632E"/>
    <w:rsid w:val="00940AF1"/>
    <w:rsid w:val="00942D2A"/>
    <w:rsid w:val="00945B83"/>
    <w:rsid w:val="00945D07"/>
    <w:rsid w:val="009470B8"/>
    <w:rsid w:val="009508A3"/>
    <w:rsid w:val="00953049"/>
    <w:rsid w:val="009535F1"/>
    <w:rsid w:val="00963CDA"/>
    <w:rsid w:val="00964F34"/>
    <w:rsid w:val="009653FC"/>
    <w:rsid w:val="00971EB1"/>
    <w:rsid w:val="00972A4C"/>
    <w:rsid w:val="0097367A"/>
    <w:rsid w:val="0097559E"/>
    <w:rsid w:val="00982D9D"/>
    <w:rsid w:val="0098728E"/>
    <w:rsid w:val="009874F4"/>
    <w:rsid w:val="00987977"/>
    <w:rsid w:val="009920E2"/>
    <w:rsid w:val="009958CA"/>
    <w:rsid w:val="00996500"/>
    <w:rsid w:val="00997DB4"/>
    <w:rsid w:val="009A09FE"/>
    <w:rsid w:val="009A0B44"/>
    <w:rsid w:val="009A2A7C"/>
    <w:rsid w:val="009A688F"/>
    <w:rsid w:val="009B6CB3"/>
    <w:rsid w:val="009C263C"/>
    <w:rsid w:val="009C6256"/>
    <w:rsid w:val="009C6907"/>
    <w:rsid w:val="009C6E61"/>
    <w:rsid w:val="009D21F8"/>
    <w:rsid w:val="009D3ED7"/>
    <w:rsid w:val="009E0425"/>
    <w:rsid w:val="009E18B0"/>
    <w:rsid w:val="009E3001"/>
    <w:rsid w:val="009E3C42"/>
    <w:rsid w:val="009F11B1"/>
    <w:rsid w:val="009F71A9"/>
    <w:rsid w:val="009F7D7F"/>
    <w:rsid w:val="00A02B0A"/>
    <w:rsid w:val="00A07E32"/>
    <w:rsid w:val="00A150B4"/>
    <w:rsid w:val="00A21187"/>
    <w:rsid w:val="00A245EF"/>
    <w:rsid w:val="00A32C81"/>
    <w:rsid w:val="00A343CA"/>
    <w:rsid w:val="00A4105C"/>
    <w:rsid w:val="00A42753"/>
    <w:rsid w:val="00A43CCB"/>
    <w:rsid w:val="00A448F7"/>
    <w:rsid w:val="00A51CF0"/>
    <w:rsid w:val="00A52235"/>
    <w:rsid w:val="00A522D3"/>
    <w:rsid w:val="00A52C60"/>
    <w:rsid w:val="00A56853"/>
    <w:rsid w:val="00A621F6"/>
    <w:rsid w:val="00A627B4"/>
    <w:rsid w:val="00A6567F"/>
    <w:rsid w:val="00A660D4"/>
    <w:rsid w:val="00A67830"/>
    <w:rsid w:val="00A70C74"/>
    <w:rsid w:val="00A710E6"/>
    <w:rsid w:val="00A71644"/>
    <w:rsid w:val="00A7235F"/>
    <w:rsid w:val="00A72AE6"/>
    <w:rsid w:val="00A752E4"/>
    <w:rsid w:val="00A82CB7"/>
    <w:rsid w:val="00A82EA7"/>
    <w:rsid w:val="00A83348"/>
    <w:rsid w:val="00A87B3B"/>
    <w:rsid w:val="00A90345"/>
    <w:rsid w:val="00A903E3"/>
    <w:rsid w:val="00A90A8E"/>
    <w:rsid w:val="00A9374C"/>
    <w:rsid w:val="00A9585F"/>
    <w:rsid w:val="00A9655E"/>
    <w:rsid w:val="00A9671C"/>
    <w:rsid w:val="00A97374"/>
    <w:rsid w:val="00AA3712"/>
    <w:rsid w:val="00AA4F17"/>
    <w:rsid w:val="00AA71A6"/>
    <w:rsid w:val="00AB0EBB"/>
    <w:rsid w:val="00AB10C7"/>
    <w:rsid w:val="00AB210B"/>
    <w:rsid w:val="00AB4988"/>
    <w:rsid w:val="00AC27C3"/>
    <w:rsid w:val="00AC2E99"/>
    <w:rsid w:val="00AC602E"/>
    <w:rsid w:val="00AC7DC5"/>
    <w:rsid w:val="00AC7ED3"/>
    <w:rsid w:val="00AD19F2"/>
    <w:rsid w:val="00AD462A"/>
    <w:rsid w:val="00AD68BC"/>
    <w:rsid w:val="00AE01E8"/>
    <w:rsid w:val="00AE1345"/>
    <w:rsid w:val="00AE1E63"/>
    <w:rsid w:val="00AE2584"/>
    <w:rsid w:val="00AE2711"/>
    <w:rsid w:val="00AF1B0C"/>
    <w:rsid w:val="00AF4B3E"/>
    <w:rsid w:val="00B00CD6"/>
    <w:rsid w:val="00B038DD"/>
    <w:rsid w:val="00B04834"/>
    <w:rsid w:val="00B0752F"/>
    <w:rsid w:val="00B11673"/>
    <w:rsid w:val="00B12695"/>
    <w:rsid w:val="00B13133"/>
    <w:rsid w:val="00B139D1"/>
    <w:rsid w:val="00B20B19"/>
    <w:rsid w:val="00B24A2D"/>
    <w:rsid w:val="00B2730C"/>
    <w:rsid w:val="00B303B5"/>
    <w:rsid w:val="00B309F1"/>
    <w:rsid w:val="00B33248"/>
    <w:rsid w:val="00B37654"/>
    <w:rsid w:val="00B41DA7"/>
    <w:rsid w:val="00B45DB9"/>
    <w:rsid w:val="00B530D7"/>
    <w:rsid w:val="00B657E0"/>
    <w:rsid w:val="00B66487"/>
    <w:rsid w:val="00B67672"/>
    <w:rsid w:val="00B75203"/>
    <w:rsid w:val="00B808F3"/>
    <w:rsid w:val="00B81EFC"/>
    <w:rsid w:val="00B847CF"/>
    <w:rsid w:val="00B87A04"/>
    <w:rsid w:val="00B91874"/>
    <w:rsid w:val="00B919D7"/>
    <w:rsid w:val="00B92B8A"/>
    <w:rsid w:val="00B93AEC"/>
    <w:rsid w:val="00B97A52"/>
    <w:rsid w:val="00BA08B9"/>
    <w:rsid w:val="00BA22D6"/>
    <w:rsid w:val="00BA35A6"/>
    <w:rsid w:val="00BB3426"/>
    <w:rsid w:val="00BC38F9"/>
    <w:rsid w:val="00BC4592"/>
    <w:rsid w:val="00BC48D9"/>
    <w:rsid w:val="00BC5975"/>
    <w:rsid w:val="00BC612A"/>
    <w:rsid w:val="00BC69B3"/>
    <w:rsid w:val="00BC732D"/>
    <w:rsid w:val="00BC776D"/>
    <w:rsid w:val="00BC7B8B"/>
    <w:rsid w:val="00BC7CF6"/>
    <w:rsid w:val="00BD1B99"/>
    <w:rsid w:val="00BD2593"/>
    <w:rsid w:val="00BD4C9E"/>
    <w:rsid w:val="00BD5BFD"/>
    <w:rsid w:val="00BE0048"/>
    <w:rsid w:val="00BE1B8D"/>
    <w:rsid w:val="00BE756A"/>
    <w:rsid w:val="00BF46A3"/>
    <w:rsid w:val="00C04C28"/>
    <w:rsid w:val="00C065B4"/>
    <w:rsid w:val="00C104DC"/>
    <w:rsid w:val="00C161D8"/>
    <w:rsid w:val="00C161E0"/>
    <w:rsid w:val="00C2574F"/>
    <w:rsid w:val="00C27888"/>
    <w:rsid w:val="00C30703"/>
    <w:rsid w:val="00C30D47"/>
    <w:rsid w:val="00C31E31"/>
    <w:rsid w:val="00C32C34"/>
    <w:rsid w:val="00C33D26"/>
    <w:rsid w:val="00C35532"/>
    <w:rsid w:val="00C50197"/>
    <w:rsid w:val="00C504E7"/>
    <w:rsid w:val="00C54EA1"/>
    <w:rsid w:val="00C55B32"/>
    <w:rsid w:val="00C57E01"/>
    <w:rsid w:val="00C61044"/>
    <w:rsid w:val="00C64DBA"/>
    <w:rsid w:val="00C70A85"/>
    <w:rsid w:val="00C77614"/>
    <w:rsid w:val="00C80F5A"/>
    <w:rsid w:val="00C82AE0"/>
    <w:rsid w:val="00C85840"/>
    <w:rsid w:val="00C9381E"/>
    <w:rsid w:val="00C948FE"/>
    <w:rsid w:val="00C95866"/>
    <w:rsid w:val="00C97726"/>
    <w:rsid w:val="00CA23A9"/>
    <w:rsid w:val="00CA2B97"/>
    <w:rsid w:val="00CA3A7A"/>
    <w:rsid w:val="00CA3FDC"/>
    <w:rsid w:val="00CA7088"/>
    <w:rsid w:val="00CC1B07"/>
    <w:rsid w:val="00CC3796"/>
    <w:rsid w:val="00CC46B5"/>
    <w:rsid w:val="00CC79AE"/>
    <w:rsid w:val="00CD74EE"/>
    <w:rsid w:val="00CD779E"/>
    <w:rsid w:val="00CF2611"/>
    <w:rsid w:val="00CF2C92"/>
    <w:rsid w:val="00CF547A"/>
    <w:rsid w:val="00D001FC"/>
    <w:rsid w:val="00D0315A"/>
    <w:rsid w:val="00D055A0"/>
    <w:rsid w:val="00D13079"/>
    <w:rsid w:val="00D16243"/>
    <w:rsid w:val="00D172F9"/>
    <w:rsid w:val="00D17605"/>
    <w:rsid w:val="00D17BDB"/>
    <w:rsid w:val="00D211C4"/>
    <w:rsid w:val="00D24D71"/>
    <w:rsid w:val="00D35FB3"/>
    <w:rsid w:val="00D4061B"/>
    <w:rsid w:val="00D427E1"/>
    <w:rsid w:val="00D44DD9"/>
    <w:rsid w:val="00D46BF8"/>
    <w:rsid w:val="00D5264F"/>
    <w:rsid w:val="00D54295"/>
    <w:rsid w:val="00D5530E"/>
    <w:rsid w:val="00D614A3"/>
    <w:rsid w:val="00D61FC5"/>
    <w:rsid w:val="00D62429"/>
    <w:rsid w:val="00D63005"/>
    <w:rsid w:val="00D6352C"/>
    <w:rsid w:val="00D70657"/>
    <w:rsid w:val="00D71C71"/>
    <w:rsid w:val="00D77130"/>
    <w:rsid w:val="00D778DB"/>
    <w:rsid w:val="00D77E72"/>
    <w:rsid w:val="00D84390"/>
    <w:rsid w:val="00D867F1"/>
    <w:rsid w:val="00D9240B"/>
    <w:rsid w:val="00D95CE1"/>
    <w:rsid w:val="00D97384"/>
    <w:rsid w:val="00DA1485"/>
    <w:rsid w:val="00DA2678"/>
    <w:rsid w:val="00DA4A45"/>
    <w:rsid w:val="00DA6235"/>
    <w:rsid w:val="00DA6B15"/>
    <w:rsid w:val="00DB1552"/>
    <w:rsid w:val="00DB238E"/>
    <w:rsid w:val="00DC212A"/>
    <w:rsid w:val="00DC5544"/>
    <w:rsid w:val="00DD4918"/>
    <w:rsid w:val="00DE1051"/>
    <w:rsid w:val="00DE16A0"/>
    <w:rsid w:val="00DE5F72"/>
    <w:rsid w:val="00DF24B4"/>
    <w:rsid w:val="00DF2FFE"/>
    <w:rsid w:val="00DF33AF"/>
    <w:rsid w:val="00DF343B"/>
    <w:rsid w:val="00DF525D"/>
    <w:rsid w:val="00DF5E84"/>
    <w:rsid w:val="00E07BD1"/>
    <w:rsid w:val="00E12DF0"/>
    <w:rsid w:val="00E149DF"/>
    <w:rsid w:val="00E154A6"/>
    <w:rsid w:val="00E2026B"/>
    <w:rsid w:val="00E30025"/>
    <w:rsid w:val="00E32EBC"/>
    <w:rsid w:val="00E3544E"/>
    <w:rsid w:val="00E36046"/>
    <w:rsid w:val="00E410B9"/>
    <w:rsid w:val="00E41B16"/>
    <w:rsid w:val="00E41DCB"/>
    <w:rsid w:val="00E42BA7"/>
    <w:rsid w:val="00E50E08"/>
    <w:rsid w:val="00E5241A"/>
    <w:rsid w:val="00E54EFA"/>
    <w:rsid w:val="00E619B2"/>
    <w:rsid w:val="00E65454"/>
    <w:rsid w:val="00E65E87"/>
    <w:rsid w:val="00E7674E"/>
    <w:rsid w:val="00E76971"/>
    <w:rsid w:val="00E807BA"/>
    <w:rsid w:val="00E83229"/>
    <w:rsid w:val="00E84628"/>
    <w:rsid w:val="00E900CE"/>
    <w:rsid w:val="00E90A9B"/>
    <w:rsid w:val="00E97C51"/>
    <w:rsid w:val="00EA4EDD"/>
    <w:rsid w:val="00EA65C9"/>
    <w:rsid w:val="00EB0E99"/>
    <w:rsid w:val="00EB4CCB"/>
    <w:rsid w:val="00EB4D77"/>
    <w:rsid w:val="00EC5143"/>
    <w:rsid w:val="00EC71B3"/>
    <w:rsid w:val="00EC7CF6"/>
    <w:rsid w:val="00ED1EFB"/>
    <w:rsid w:val="00ED54C3"/>
    <w:rsid w:val="00EE6117"/>
    <w:rsid w:val="00EE699F"/>
    <w:rsid w:val="00EF58A1"/>
    <w:rsid w:val="00EF7678"/>
    <w:rsid w:val="00F00905"/>
    <w:rsid w:val="00F121FA"/>
    <w:rsid w:val="00F20B66"/>
    <w:rsid w:val="00F3573F"/>
    <w:rsid w:val="00F359C6"/>
    <w:rsid w:val="00F36581"/>
    <w:rsid w:val="00F37843"/>
    <w:rsid w:val="00F37FF1"/>
    <w:rsid w:val="00F404AF"/>
    <w:rsid w:val="00F5423A"/>
    <w:rsid w:val="00F67721"/>
    <w:rsid w:val="00F72E03"/>
    <w:rsid w:val="00F771B9"/>
    <w:rsid w:val="00F853EF"/>
    <w:rsid w:val="00F86966"/>
    <w:rsid w:val="00F949AF"/>
    <w:rsid w:val="00F9553F"/>
    <w:rsid w:val="00F97F1C"/>
    <w:rsid w:val="00FA10A6"/>
    <w:rsid w:val="00FA382E"/>
    <w:rsid w:val="00FA5C47"/>
    <w:rsid w:val="00FB1962"/>
    <w:rsid w:val="00FB2522"/>
    <w:rsid w:val="00FC0174"/>
    <w:rsid w:val="00FC20F5"/>
    <w:rsid w:val="00FC23EB"/>
    <w:rsid w:val="00FC404F"/>
    <w:rsid w:val="00FC5060"/>
    <w:rsid w:val="00FC6AE2"/>
    <w:rsid w:val="00FD179B"/>
    <w:rsid w:val="00FD201C"/>
    <w:rsid w:val="00FD3372"/>
    <w:rsid w:val="00FD66A7"/>
    <w:rsid w:val="00FE6443"/>
    <w:rsid w:val="00FE7E6D"/>
    <w:rsid w:val="00FF2C94"/>
    <w:rsid w:val="00FF6F3B"/>
    <w:rsid w:val="00FF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EC64C84B-5DA7-49A2-94CA-76AF08A4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85"/>
    <w:pPr>
      <w:ind w:firstLine="0"/>
    </w:pPr>
    <w:rPr>
      <w:rFonts w:ascii="Arial" w:hAnsi="Arial"/>
    </w:rPr>
  </w:style>
  <w:style w:type="paragraph" w:styleId="Heading1">
    <w:name w:val="heading 1"/>
    <w:basedOn w:val="Normal"/>
    <w:next w:val="Normal"/>
    <w:link w:val="Heading1Char"/>
    <w:uiPriority w:val="9"/>
    <w:qFormat/>
    <w:rsid w:val="0050677D"/>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50677D"/>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50677D"/>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50677D"/>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50677D"/>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50677D"/>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50677D"/>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unhideWhenUsed/>
    <w:qFormat/>
    <w:rsid w:val="0050677D"/>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unhideWhenUsed/>
    <w:qFormat/>
    <w:rsid w:val="0050677D"/>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2E02"/>
    <w:pPr>
      <w:autoSpaceDE w:val="0"/>
      <w:autoSpaceDN w:val="0"/>
      <w:adjustRightInd w:val="0"/>
    </w:pPr>
    <w:rPr>
      <w:rFonts w:ascii="Arial" w:hAnsi="Arial" w:cs="Arial"/>
      <w:color w:val="000000"/>
      <w:sz w:val="24"/>
      <w:szCs w:val="24"/>
      <w:lang w:val="en-GB" w:bidi="ar-SA"/>
    </w:rPr>
  </w:style>
  <w:style w:type="character" w:customStyle="1" w:styleId="L2Char">
    <w:name w:val="L2 Char"/>
    <w:basedOn w:val="DefaultParagraphFont"/>
    <w:link w:val="L2"/>
    <w:locked/>
    <w:rsid w:val="00382E02"/>
    <w:rPr>
      <w:rFonts w:ascii="Arial" w:hAnsi="Arial" w:cs="Arial"/>
    </w:rPr>
  </w:style>
  <w:style w:type="paragraph" w:customStyle="1" w:styleId="L2">
    <w:name w:val="L2"/>
    <w:basedOn w:val="Normal"/>
    <w:link w:val="L2Char"/>
    <w:rsid w:val="00382E02"/>
    <w:pPr>
      <w:ind w:left="720" w:hanging="720"/>
    </w:pPr>
    <w:rPr>
      <w:rFonts w:eastAsia="Calibri" w:cs="Arial"/>
    </w:rPr>
  </w:style>
  <w:style w:type="paragraph" w:styleId="ListParagraph">
    <w:name w:val="List Paragraph"/>
    <w:basedOn w:val="Normal"/>
    <w:qFormat/>
    <w:rsid w:val="0050677D"/>
    <w:pPr>
      <w:ind w:left="720"/>
      <w:contextualSpacing/>
    </w:pPr>
  </w:style>
  <w:style w:type="character" w:customStyle="1" w:styleId="Heading1Char">
    <w:name w:val="Heading 1 Char"/>
    <w:basedOn w:val="DefaultParagraphFont"/>
    <w:link w:val="Heading1"/>
    <w:uiPriority w:val="9"/>
    <w:rsid w:val="0050677D"/>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50677D"/>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50677D"/>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50677D"/>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50677D"/>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50677D"/>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50677D"/>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rsid w:val="0050677D"/>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rsid w:val="0050677D"/>
    <w:rPr>
      <w:rFonts w:asciiTheme="majorHAnsi" w:eastAsiaTheme="majorEastAsia" w:hAnsiTheme="majorHAnsi" w:cstheme="majorBidi"/>
      <w:i/>
      <w:iCs/>
      <w:color w:val="9BBB59" w:themeColor="accent3"/>
      <w:sz w:val="20"/>
      <w:szCs w:val="20"/>
    </w:rPr>
  </w:style>
  <w:style w:type="numbering" w:styleId="ArticleSection">
    <w:name w:val="Outline List 3"/>
    <w:basedOn w:val="NoList"/>
    <w:rsid w:val="00382E02"/>
    <w:pPr>
      <w:numPr>
        <w:numId w:val="1"/>
      </w:numPr>
    </w:pPr>
  </w:style>
  <w:style w:type="paragraph" w:customStyle="1" w:styleId="N1">
    <w:name w:val="N1"/>
    <w:basedOn w:val="Normal"/>
    <w:rsid w:val="00382E02"/>
    <w:pPr>
      <w:spacing w:before="160" w:line="220" w:lineRule="atLeast"/>
      <w:jc w:val="both"/>
    </w:pPr>
    <w:rPr>
      <w:rFonts w:ascii="Times New Roman" w:eastAsia="Times New Roman" w:hAnsi="Times New Roman"/>
      <w:sz w:val="21"/>
      <w:szCs w:val="20"/>
    </w:rPr>
  </w:style>
  <w:style w:type="paragraph" w:styleId="ListBullet">
    <w:name w:val="List Bullet"/>
    <w:basedOn w:val="Normal"/>
    <w:rsid w:val="00382E02"/>
    <w:pPr>
      <w:numPr>
        <w:numId w:val="2"/>
      </w:numPr>
    </w:pPr>
    <w:rPr>
      <w:rFonts w:ascii="Times New Roman" w:eastAsia="Times New Roman" w:hAnsi="Times New Roman"/>
      <w:sz w:val="24"/>
      <w:szCs w:val="24"/>
    </w:rPr>
  </w:style>
  <w:style w:type="character" w:styleId="Hyperlink">
    <w:name w:val="Hyperlink"/>
    <w:basedOn w:val="DefaultParagraphFont"/>
    <w:uiPriority w:val="99"/>
    <w:semiHidden/>
    <w:unhideWhenUsed/>
    <w:rsid w:val="00AD68BC"/>
    <w:rPr>
      <w:color w:val="0065BD"/>
      <w:u w:val="single"/>
    </w:rPr>
  </w:style>
  <w:style w:type="character" w:styleId="Emphasis">
    <w:name w:val="Emphasis"/>
    <w:uiPriority w:val="20"/>
    <w:qFormat/>
    <w:rsid w:val="0050677D"/>
    <w:rPr>
      <w:b/>
      <w:bCs/>
      <w:i/>
      <w:iCs/>
      <w:color w:val="5A5A5A" w:themeColor="text1" w:themeTint="A5"/>
    </w:rPr>
  </w:style>
  <w:style w:type="character" w:styleId="FollowedHyperlink">
    <w:name w:val="FollowedHyperlink"/>
    <w:basedOn w:val="DefaultParagraphFont"/>
    <w:uiPriority w:val="99"/>
    <w:semiHidden/>
    <w:unhideWhenUsed/>
    <w:rsid w:val="00BE756A"/>
    <w:rPr>
      <w:color w:val="800080"/>
      <w:u w:val="single"/>
    </w:rPr>
  </w:style>
  <w:style w:type="paragraph" w:styleId="BodyText">
    <w:name w:val="Body Text"/>
    <w:basedOn w:val="Normal"/>
    <w:link w:val="BodyTextChar"/>
    <w:rsid w:val="00276D14"/>
    <w:pPr>
      <w:suppressAutoHyphens/>
    </w:pPr>
    <w:rPr>
      <w:rFonts w:eastAsia="Times New Roman" w:cs="Arial"/>
      <w:sz w:val="20"/>
      <w:szCs w:val="24"/>
      <w:lang w:eastAsia="zh-CN"/>
    </w:rPr>
  </w:style>
  <w:style w:type="character" w:customStyle="1" w:styleId="BodyTextChar">
    <w:name w:val="Body Text Char"/>
    <w:basedOn w:val="DefaultParagraphFont"/>
    <w:link w:val="BodyText"/>
    <w:rsid w:val="00276D14"/>
    <w:rPr>
      <w:rFonts w:ascii="Arial" w:eastAsia="Times New Roman" w:hAnsi="Arial" w:cs="Arial"/>
      <w:szCs w:val="24"/>
      <w:lang w:eastAsia="zh-CN"/>
    </w:rPr>
  </w:style>
  <w:style w:type="paragraph" w:customStyle="1" w:styleId="L1">
    <w:name w:val="L1"/>
    <w:basedOn w:val="Heading3"/>
    <w:rsid w:val="00457719"/>
    <w:pPr>
      <w:tabs>
        <w:tab w:val="left" w:pos="720"/>
      </w:tabs>
      <w:spacing w:before="0" w:after="0"/>
      <w:ind w:left="720" w:hanging="720"/>
    </w:pPr>
    <w:rPr>
      <w:rFonts w:eastAsia="Times New Roman" w:cs="Times New Roman"/>
      <w:bCs/>
    </w:rPr>
  </w:style>
  <w:style w:type="numbering" w:customStyle="1" w:styleId="StyleBulletedSymbolsymbolLeft05Hanging025">
    <w:name w:val="Style Bulleted Symbol (symbol) Left:  0.5&quot; Hanging:  0.25&quot;"/>
    <w:basedOn w:val="NoList"/>
    <w:rsid w:val="00457719"/>
    <w:pPr>
      <w:numPr>
        <w:numId w:val="3"/>
      </w:numPr>
    </w:pPr>
  </w:style>
  <w:style w:type="table" w:styleId="TableGrid">
    <w:name w:val="Table Grid"/>
    <w:basedOn w:val="TableNormal"/>
    <w:rsid w:val="004577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57719"/>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sid w:val="00457719"/>
    <w:rPr>
      <w:rFonts w:ascii="Tahoma" w:eastAsia="Times New Roman" w:hAnsi="Tahoma" w:cs="Tahoma"/>
      <w:sz w:val="16"/>
      <w:szCs w:val="16"/>
    </w:rPr>
  </w:style>
  <w:style w:type="paragraph" w:styleId="Header">
    <w:name w:val="header"/>
    <w:basedOn w:val="Normal"/>
    <w:link w:val="HeaderChar"/>
    <w:uiPriority w:val="99"/>
    <w:rsid w:val="00457719"/>
    <w:pPr>
      <w:tabs>
        <w:tab w:val="center" w:pos="4153"/>
        <w:tab w:val="right" w:pos="8306"/>
      </w:tabs>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rsid w:val="00457719"/>
    <w:rPr>
      <w:rFonts w:ascii="Times New Roman" w:eastAsia="Times New Roman" w:hAnsi="Times New Roman"/>
      <w:sz w:val="24"/>
      <w:szCs w:val="24"/>
    </w:rPr>
  </w:style>
  <w:style w:type="paragraph" w:styleId="Footer">
    <w:name w:val="footer"/>
    <w:basedOn w:val="Normal"/>
    <w:link w:val="FooterChar"/>
    <w:uiPriority w:val="99"/>
    <w:rsid w:val="00457719"/>
    <w:pPr>
      <w:tabs>
        <w:tab w:val="center" w:pos="4153"/>
        <w:tab w:val="right" w:pos="8306"/>
      </w:tabs>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rsid w:val="00457719"/>
    <w:rPr>
      <w:rFonts w:ascii="Times New Roman" w:eastAsia="Times New Roman" w:hAnsi="Times New Roman"/>
      <w:sz w:val="24"/>
      <w:szCs w:val="24"/>
    </w:rPr>
  </w:style>
  <w:style w:type="numbering" w:customStyle="1" w:styleId="StyleNumbered1">
    <w:name w:val="Style Numbered1"/>
    <w:basedOn w:val="NoList"/>
    <w:semiHidden/>
    <w:rsid w:val="00457719"/>
    <w:pPr>
      <w:numPr>
        <w:numId w:val="4"/>
      </w:numPr>
    </w:pPr>
  </w:style>
  <w:style w:type="paragraph" w:customStyle="1" w:styleId="TableContents">
    <w:name w:val="Table Contents"/>
    <w:basedOn w:val="Normal"/>
    <w:rsid w:val="00457719"/>
    <w:pPr>
      <w:widowControl w:val="0"/>
      <w:suppressLineNumbers/>
      <w:suppressAutoHyphens/>
      <w:spacing w:after="200" w:line="276" w:lineRule="auto"/>
    </w:pPr>
    <w:rPr>
      <w:rFonts w:ascii="Times New Roman" w:eastAsia="Arial Unicode MS" w:hAnsi="Times New Roman" w:cs="Arial Unicode MS"/>
      <w:sz w:val="24"/>
      <w:szCs w:val="24"/>
      <w:lang w:eastAsia="zh-CN" w:bidi="hi-IN"/>
    </w:rPr>
  </w:style>
  <w:style w:type="paragraph" w:styleId="Revision">
    <w:name w:val="Revision"/>
    <w:hidden/>
    <w:uiPriority w:val="99"/>
    <w:semiHidden/>
    <w:rsid w:val="00457719"/>
    <w:rPr>
      <w:rFonts w:ascii="Times New Roman" w:eastAsia="Times New Roman" w:hAnsi="Times New Roman"/>
      <w:sz w:val="24"/>
      <w:szCs w:val="24"/>
      <w:lang w:val="en-GB" w:eastAsia="en-GB" w:bidi="ar-SA"/>
    </w:rPr>
  </w:style>
  <w:style w:type="paragraph" w:styleId="Caption">
    <w:name w:val="caption"/>
    <w:basedOn w:val="Normal"/>
    <w:next w:val="Normal"/>
    <w:uiPriority w:val="35"/>
    <w:semiHidden/>
    <w:unhideWhenUsed/>
    <w:qFormat/>
    <w:rsid w:val="0050677D"/>
    <w:rPr>
      <w:b/>
      <w:bCs/>
      <w:sz w:val="18"/>
      <w:szCs w:val="18"/>
    </w:rPr>
  </w:style>
  <w:style w:type="paragraph" w:styleId="Title">
    <w:name w:val="Title"/>
    <w:basedOn w:val="Normal"/>
    <w:next w:val="Normal"/>
    <w:link w:val="TitleChar"/>
    <w:uiPriority w:val="10"/>
    <w:qFormat/>
    <w:rsid w:val="0050677D"/>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0677D"/>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0677D"/>
    <w:pPr>
      <w:spacing w:before="200" w:after="900"/>
      <w:jc w:val="right"/>
    </w:pPr>
    <w:rPr>
      <w:i/>
      <w:iCs/>
      <w:sz w:val="24"/>
      <w:szCs w:val="24"/>
    </w:rPr>
  </w:style>
  <w:style w:type="character" w:customStyle="1" w:styleId="SubtitleChar">
    <w:name w:val="Subtitle Char"/>
    <w:basedOn w:val="DefaultParagraphFont"/>
    <w:link w:val="Subtitle"/>
    <w:uiPriority w:val="11"/>
    <w:rsid w:val="0050677D"/>
    <w:rPr>
      <w:rFonts w:asciiTheme="minorHAnsi"/>
      <w:i/>
      <w:iCs/>
      <w:sz w:val="24"/>
      <w:szCs w:val="24"/>
    </w:rPr>
  </w:style>
  <w:style w:type="character" w:styleId="Strong">
    <w:name w:val="Strong"/>
    <w:basedOn w:val="DefaultParagraphFont"/>
    <w:uiPriority w:val="22"/>
    <w:qFormat/>
    <w:rsid w:val="0050677D"/>
    <w:rPr>
      <w:b/>
      <w:bCs/>
      <w:spacing w:val="0"/>
    </w:rPr>
  </w:style>
  <w:style w:type="paragraph" w:styleId="NoSpacing">
    <w:name w:val="No Spacing"/>
    <w:basedOn w:val="Normal"/>
    <w:link w:val="NoSpacingChar"/>
    <w:uiPriority w:val="1"/>
    <w:qFormat/>
    <w:rsid w:val="0050677D"/>
  </w:style>
  <w:style w:type="character" w:customStyle="1" w:styleId="NoSpacingChar">
    <w:name w:val="No Spacing Char"/>
    <w:basedOn w:val="DefaultParagraphFont"/>
    <w:link w:val="NoSpacing"/>
    <w:uiPriority w:val="1"/>
    <w:rsid w:val="0050677D"/>
  </w:style>
  <w:style w:type="paragraph" w:styleId="Quote">
    <w:name w:val="Quote"/>
    <w:basedOn w:val="Normal"/>
    <w:next w:val="Normal"/>
    <w:link w:val="QuoteChar"/>
    <w:uiPriority w:val="29"/>
    <w:qFormat/>
    <w:rsid w:val="0050677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0677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0677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0677D"/>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0677D"/>
    <w:rPr>
      <w:i/>
      <w:iCs/>
      <w:color w:val="5A5A5A" w:themeColor="text1" w:themeTint="A5"/>
    </w:rPr>
  </w:style>
  <w:style w:type="character" w:styleId="IntenseEmphasis">
    <w:name w:val="Intense Emphasis"/>
    <w:uiPriority w:val="21"/>
    <w:qFormat/>
    <w:rsid w:val="0050677D"/>
    <w:rPr>
      <w:b/>
      <w:bCs/>
      <w:i/>
      <w:iCs/>
      <w:color w:val="4F81BD" w:themeColor="accent1"/>
      <w:sz w:val="22"/>
      <w:szCs w:val="22"/>
    </w:rPr>
  </w:style>
  <w:style w:type="character" w:styleId="SubtleReference">
    <w:name w:val="Subtle Reference"/>
    <w:uiPriority w:val="31"/>
    <w:qFormat/>
    <w:rsid w:val="0050677D"/>
    <w:rPr>
      <w:color w:val="auto"/>
      <w:u w:val="single" w:color="9BBB59" w:themeColor="accent3"/>
    </w:rPr>
  </w:style>
  <w:style w:type="character" w:styleId="IntenseReference">
    <w:name w:val="Intense Reference"/>
    <w:basedOn w:val="DefaultParagraphFont"/>
    <w:uiPriority w:val="32"/>
    <w:qFormat/>
    <w:rsid w:val="0050677D"/>
    <w:rPr>
      <w:b/>
      <w:bCs/>
      <w:color w:val="76923C" w:themeColor="accent3" w:themeShade="BF"/>
      <w:u w:val="single" w:color="9BBB59" w:themeColor="accent3"/>
    </w:rPr>
  </w:style>
  <w:style w:type="character" w:styleId="BookTitle">
    <w:name w:val="Book Title"/>
    <w:basedOn w:val="DefaultParagraphFont"/>
    <w:uiPriority w:val="33"/>
    <w:qFormat/>
    <w:rsid w:val="0050677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0677D"/>
    <w:pPr>
      <w:outlineLvl w:val="9"/>
    </w:pPr>
  </w:style>
  <w:style w:type="character" w:styleId="CommentReference">
    <w:name w:val="annotation reference"/>
    <w:basedOn w:val="DefaultParagraphFont"/>
    <w:semiHidden/>
    <w:rsid w:val="00B41DA7"/>
    <w:rPr>
      <w:sz w:val="16"/>
      <w:szCs w:val="16"/>
    </w:rPr>
  </w:style>
  <w:style w:type="paragraph" w:styleId="CommentText">
    <w:name w:val="annotation text"/>
    <w:basedOn w:val="Normal"/>
    <w:link w:val="CommentTextChar"/>
    <w:semiHidden/>
    <w:rsid w:val="00B41DA7"/>
    <w:rPr>
      <w:rFonts w:ascii="Times New Roman" w:eastAsia="Times New Roman" w:hAnsi="Times New Roman" w:cs="Times New Roman"/>
      <w:sz w:val="20"/>
      <w:szCs w:val="20"/>
      <w:lang w:val="en-GB" w:eastAsia="en-GB" w:bidi="ar-SA"/>
    </w:rPr>
  </w:style>
  <w:style w:type="character" w:customStyle="1" w:styleId="CommentTextChar">
    <w:name w:val="Comment Text Char"/>
    <w:basedOn w:val="DefaultParagraphFont"/>
    <w:link w:val="CommentText"/>
    <w:semiHidden/>
    <w:rsid w:val="00B41DA7"/>
    <w:rPr>
      <w:rFonts w:ascii="Times New Roman" w:eastAsia="Times New Roman" w:hAnsi="Times New Roman" w:cs="Times New Roman"/>
      <w:sz w:val="20"/>
      <w:szCs w:val="20"/>
      <w:lang w:val="en-GB" w:eastAsia="en-GB" w:bidi="ar-SA"/>
    </w:rPr>
  </w:style>
  <w:style w:type="paragraph" w:styleId="NormalWeb">
    <w:name w:val="Normal (Web)"/>
    <w:basedOn w:val="Normal"/>
    <w:uiPriority w:val="99"/>
    <w:unhideWhenUsed/>
    <w:rsid w:val="00DE1051"/>
    <w:pPr>
      <w:spacing w:before="100" w:beforeAutospacing="1" w:after="100" w:afterAutospacing="1"/>
    </w:pPr>
    <w:rPr>
      <w:rFonts w:ascii="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0387">
      <w:bodyDiv w:val="1"/>
      <w:marLeft w:val="0"/>
      <w:marRight w:val="0"/>
      <w:marTop w:val="0"/>
      <w:marBottom w:val="0"/>
      <w:divBdr>
        <w:top w:val="none" w:sz="0" w:space="0" w:color="auto"/>
        <w:left w:val="none" w:sz="0" w:space="0" w:color="auto"/>
        <w:bottom w:val="none" w:sz="0" w:space="0" w:color="auto"/>
        <w:right w:val="none" w:sz="0" w:space="0" w:color="auto"/>
      </w:divBdr>
      <w:divsChild>
        <w:div w:id="1261795036">
          <w:marLeft w:val="0"/>
          <w:marRight w:val="0"/>
          <w:marTop w:val="0"/>
          <w:marBottom w:val="0"/>
          <w:divBdr>
            <w:top w:val="none" w:sz="0" w:space="0" w:color="auto"/>
            <w:left w:val="none" w:sz="0" w:space="0" w:color="auto"/>
            <w:bottom w:val="none" w:sz="0" w:space="0" w:color="auto"/>
            <w:right w:val="none" w:sz="0" w:space="0" w:color="auto"/>
          </w:divBdr>
          <w:divsChild>
            <w:div w:id="1266695648">
              <w:marLeft w:val="0"/>
              <w:marRight w:val="0"/>
              <w:marTop w:val="0"/>
              <w:marBottom w:val="0"/>
              <w:divBdr>
                <w:top w:val="none" w:sz="0" w:space="0" w:color="auto"/>
                <w:left w:val="none" w:sz="0" w:space="0" w:color="auto"/>
                <w:bottom w:val="none" w:sz="0" w:space="0" w:color="auto"/>
                <w:right w:val="none" w:sz="0" w:space="0" w:color="auto"/>
              </w:divBdr>
              <w:divsChild>
                <w:div w:id="118646256">
                  <w:marLeft w:val="0"/>
                  <w:marRight w:val="0"/>
                  <w:marTop w:val="0"/>
                  <w:marBottom w:val="0"/>
                  <w:divBdr>
                    <w:top w:val="none" w:sz="0" w:space="0" w:color="auto"/>
                    <w:left w:val="none" w:sz="0" w:space="0" w:color="auto"/>
                    <w:bottom w:val="none" w:sz="0" w:space="0" w:color="auto"/>
                    <w:right w:val="none" w:sz="0" w:space="0" w:color="auto"/>
                  </w:divBdr>
                  <w:divsChild>
                    <w:div w:id="856773478">
                      <w:marLeft w:val="0"/>
                      <w:marRight w:val="0"/>
                      <w:marTop w:val="0"/>
                      <w:marBottom w:val="0"/>
                      <w:divBdr>
                        <w:top w:val="none" w:sz="0" w:space="0" w:color="auto"/>
                        <w:left w:val="none" w:sz="0" w:space="0" w:color="auto"/>
                        <w:bottom w:val="none" w:sz="0" w:space="0" w:color="auto"/>
                        <w:right w:val="none" w:sz="0" w:space="0" w:color="auto"/>
                      </w:divBdr>
                      <w:divsChild>
                        <w:div w:id="2103797361">
                          <w:marLeft w:val="0"/>
                          <w:marRight w:val="0"/>
                          <w:marTop w:val="0"/>
                          <w:marBottom w:val="0"/>
                          <w:divBdr>
                            <w:top w:val="none" w:sz="0" w:space="0" w:color="auto"/>
                            <w:left w:val="none" w:sz="0" w:space="0" w:color="auto"/>
                            <w:bottom w:val="none" w:sz="0" w:space="0" w:color="auto"/>
                            <w:right w:val="none" w:sz="0" w:space="0" w:color="auto"/>
                          </w:divBdr>
                          <w:divsChild>
                            <w:div w:id="13307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645635">
      <w:bodyDiv w:val="1"/>
      <w:marLeft w:val="0"/>
      <w:marRight w:val="0"/>
      <w:marTop w:val="0"/>
      <w:marBottom w:val="0"/>
      <w:divBdr>
        <w:top w:val="none" w:sz="0" w:space="0" w:color="auto"/>
        <w:left w:val="none" w:sz="0" w:space="0" w:color="auto"/>
        <w:bottom w:val="none" w:sz="0" w:space="0" w:color="auto"/>
        <w:right w:val="none" w:sz="0" w:space="0" w:color="auto"/>
      </w:divBdr>
    </w:div>
    <w:div w:id="958146871">
      <w:bodyDiv w:val="1"/>
      <w:marLeft w:val="0"/>
      <w:marRight w:val="0"/>
      <w:marTop w:val="0"/>
      <w:marBottom w:val="0"/>
      <w:divBdr>
        <w:top w:val="none" w:sz="0" w:space="0" w:color="auto"/>
        <w:left w:val="none" w:sz="0" w:space="0" w:color="auto"/>
        <w:bottom w:val="none" w:sz="0" w:space="0" w:color="auto"/>
        <w:right w:val="none" w:sz="0" w:space="0" w:color="auto"/>
      </w:divBdr>
    </w:div>
    <w:div w:id="1352339796">
      <w:bodyDiv w:val="1"/>
      <w:marLeft w:val="0"/>
      <w:marRight w:val="0"/>
      <w:marTop w:val="0"/>
      <w:marBottom w:val="0"/>
      <w:divBdr>
        <w:top w:val="none" w:sz="0" w:space="0" w:color="auto"/>
        <w:left w:val="none" w:sz="0" w:space="0" w:color="auto"/>
        <w:bottom w:val="none" w:sz="0" w:space="0" w:color="auto"/>
        <w:right w:val="none" w:sz="0" w:space="0" w:color="auto"/>
      </w:divBdr>
    </w:div>
    <w:div w:id="194683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A7CC9-B5D3-48AC-944C-5E8A7E26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21</Pages>
  <Words>5333</Words>
  <Characters>30399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Sustainable Economic Growth</vt:lpstr>
    </vt:vector>
  </TitlesOfParts>
  <Company>South Lanarkshire Council</Company>
  <LinksUpToDate>false</LinksUpToDate>
  <CharactersWithSpaces>35661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Economic Growth</dc:title>
  <dc:creator>reidn</dc:creator>
  <cp:lastModifiedBy>Paterson, Eleanor</cp:lastModifiedBy>
  <cp:revision>19</cp:revision>
  <cp:lastPrinted>2018-08-09T11:56:00Z</cp:lastPrinted>
  <dcterms:created xsi:type="dcterms:W3CDTF">2018-07-27T10:36:00Z</dcterms:created>
  <dcterms:modified xsi:type="dcterms:W3CDTF">2018-12-05T09:49:00Z</dcterms:modified>
</cp:coreProperties>
</file>