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E8" w:rsidRPr="00BD2F35" w:rsidRDefault="006628E8" w:rsidP="006628E8">
      <w:pPr>
        <w:jc w:val="center"/>
        <w:rPr>
          <w:b/>
          <w:sz w:val="40"/>
          <w:szCs w:val="40"/>
        </w:rPr>
      </w:pPr>
      <w:r w:rsidRPr="00BD2F35">
        <w:rPr>
          <w:b/>
          <w:sz w:val="40"/>
          <w:szCs w:val="40"/>
        </w:rPr>
        <w:t>SOUTH LANARKSHIRE COMMUNITY PLANNING PARTNERSHIP</w:t>
      </w:r>
    </w:p>
    <w:p w:rsidR="006628E8" w:rsidRDefault="006628E8" w:rsidP="006628E8">
      <w:pPr>
        <w:jc w:val="center"/>
        <w:rPr>
          <w:b/>
          <w:sz w:val="40"/>
          <w:szCs w:val="40"/>
        </w:rPr>
      </w:pPr>
    </w:p>
    <w:p w:rsidR="006628E8" w:rsidRPr="00BD2F35" w:rsidRDefault="006628E8" w:rsidP="006628E8">
      <w:pPr>
        <w:jc w:val="center"/>
        <w:rPr>
          <w:b/>
          <w:sz w:val="40"/>
          <w:szCs w:val="40"/>
        </w:rPr>
      </w:pPr>
    </w:p>
    <w:p w:rsidR="006628E8" w:rsidRPr="00BD2F35" w:rsidRDefault="004139D9" w:rsidP="006628E8">
      <w:pPr>
        <w:jc w:val="center"/>
        <w:rPr>
          <w:b/>
          <w:sz w:val="40"/>
          <w:szCs w:val="40"/>
        </w:rPr>
      </w:pPr>
      <w:r>
        <w:rPr>
          <w:b/>
          <w:sz w:val="40"/>
          <w:szCs w:val="40"/>
        </w:rPr>
        <w:t>PARTNERSHIP IMPROVEMENT</w:t>
      </w:r>
      <w:r w:rsidR="006628E8" w:rsidRPr="00BD2F35">
        <w:rPr>
          <w:b/>
          <w:sz w:val="40"/>
          <w:szCs w:val="40"/>
        </w:rPr>
        <w:t xml:space="preserve"> PLAN</w:t>
      </w:r>
    </w:p>
    <w:p w:rsidR="006628E8" w:rsidRPr="00BD2F35" w:rsidRDefault="006871D0" w:rsidP="006628E8">
      <w:pPr>
        <w:jc w:val="center"/>
        <w:rPr>
          <w:b/>
          <w:sz w:val="40"/>
          <w:szCs w:val="40"/>
        </w:rPr>
      </w:pPr>
      <w:r>
        <w:rPr>
          <w:b/>
          <w:sz w:val="40"/>
          <w:szCs w:val="40"/>
        </w:rPr>
        <w:t>2017-2020</w:t>
      </w:r>
    </w:p>
    <w:p w:rsidR="006628E8" w:rsidRDefault="006628E8" w:rsidP="006628E8">
      <w:pPr>
        <w:jc w:val="center"/>
        <w:rPr>
          <w:b/>
          <w:sz w:val="40"/>
          <w:szCs w:val="40"/>
        </w:rPr>
      </w:pPr>
    </w:p>
    <w:p w:rsidR="006628E8" w:rsidRDefault="006628E8" w:rsidP="006628E8">
      <w:pPr>
        <w:jc w:val="center"/>
        <w:rPr>
          <w:b/>
          <w:sz w:val="40"/>
          <w:szCs w:val="40"/>
        </w:rPr>
      </w:pPr>
      <w:r>
        <w:rPr>
          <w:b/>
          <w:sz w:val="40"/>
          <w:szCs w:val="40"/>
        </w:rPr>
        <w:t>Sustainable and Inclusive Economic Growth</w:t>
      </w:r>
    </w:p>
    <w:p w:rsidR="006628E8" w:rsidRPr="00BD2F35" w:rsidRDefault="006628E8" w:rsidP="006628E8">
      <w:pPr>
        <w:jc w:val="center"/>
        <w:rPr>
          <w:b/>
          <w:sz w:val="40"/>
          <w:szCs w:val="40"/>
        </w:rPr>
      </w:pPr>
    </w:p>
    <w:p w:rsidR="006628E8" w:rsidRPr="00D97E77" w:rsidRDefault="006628E8" w:rsidP="006628E8">
      <w:pPr>
        <w:jc w:val="center"/>
        <w:rPr>
          <w:b/>
          <w:sz w:val="40"/>
          <w:szCs w:val="40"/>
        </w:rPr>
      </w:pPr>
      <w:r w:rsidRPr="00D97E77">
        <w:rPr>
          <w:b/>
          <w:sz w:val="40"/>
          <w:szCs w:val="40"/>
        </w:rPr>
        <w:t>VISION</w:t>
      </w:r>
    </w:p>
    <w:p w:rsidR="006628E8" w:rsidRPr="00D97E77" w:rsidRDefault="006628E8" w:rsidP="006628E8">
      <w:pPr>
        <w:jc w:val="center"/>
        <w:rPr>
          <w:b/>
          <w:sz w:val="40"/>
          <w:szCs w:val="40"/>
        </w:rPr>
      </w:pPr>
    </w:p>
    <w:p w:rsidR="006628E8" w:rsidRPr="00BD2F35" w:rsidRDefault="006628E8" w:rsidP="006628E8">
      <w:pPr>
        <w:jc w:val="center"/>
        <w:rPr>
          <w:i/>
          <w:sz w:val="40"/>
          <w:szCs w:val="40"/>
        </w:rPr>
      </w:pPr>
      <w:r w:rsidRPr="00BD2F35">
        <w:rPr>
          <w:i/>
          <w:sz w:val="40"/>
          <w:szCs w:val="40"/>
        </w:rPr>
        <w:t>To improve the quality of life for all in South Lanarkshire by ensuring equal access to opportunities and to se</w:t>
      </w:r>
      <w:r w:rsidR="00D26B2E">
        <w:rPr>
          <w:i/>
          <w:sz w:val="40"/>
          <w:szCs w:val="40"/>
        </w:rPr>
        <w:t>rvices that meet people's needs</w:t>
      </w:r>
      <w:r w:rsidRPr="00BD2F35">
        <w:rPr>
          <w:i/>
          <w:sz w:val="40"/>
          <w:szCs w:val="40"/>
        </w:rPr>
        <w:t>. </w:t>
      </w:r>
    </w:p>
    <w:p w:rsidR="006628E8" w:rsidRDefault="006628E8" w:rsidP="006628E8">
      <w:pPr>
        <w:jc w:val="center"/>
        <w:rPr>
          <w:b/>
          <w:sz w:val="28"/>
          <w:szCs w:val="28"/>
        </w:rPr>
      </w:pPr>
    </w:p>
    <w:p w:rsidR="006628E8" w:rsidRDefault="006628E8" w:rsidP="006628E8">
      <w:pPr>
        <w:jc w:val="center"/>
        <w:rPr>
          <w:b/>
          <w:sz w:val="28"/>
          <w:szCs w:val="28"/>
        </w:rPr>
      </w:pPr>
    </w:p>
    <w:p w:rsidR="006628E8" w:rsidRDefault="006628E8" w:rsidP="006628E8">
      <w:pPr>
        <w:jc w:val="center"/>
        <w:rPr>
          <w:b/>
          <w:sz w:val="28"/>
          <w:szCs w:val="28"/>
        </w:rPr>
      </w:pPr>
    </w:p>
    <w:p w:rsidR="006628E8" w:rsidRDefault="006628E8" w:rsidP="006628E8">
      <w:pPr>
        <w:jc w:val="center"/>
        <w:rPr>
          <w:b/>
          <w:sz w:val="28"/>
          <w:szCs w:val="28"/>
        </w:rPr>
      </w:pPr>
    </w:p>
    <w:p w:rsidR="006628E8" w:rsidRDefault="006628E8" w:rsidP="006628E8">
      <w:pPr>
        <w:jc w:val="center"/>
        <w:rPr>
          <w:b/>
          <w:sz w:val="28"/>
          <w:szCs w:val="28"/>
        </w:rPr>
      </w:pPr>
    </w:p>
    <w:p w:rsidR="006628E8" w:rsidRDefault="006628E8" w:rsidP="006628E8">
      <w:pPr>
        <w:jc w:val="center"/>
        <w:rPr>
          <w:b/>
          <w:sz w:val="28"/>
          <w:szCs w:val="28"/>
        </w:rPr>
      </w:pPr>
    </w:p>
    <w:p w:rsidR="006628E8" w:rsidRDefault="006628E8" w:rsidP="006628E8">
      <w:pPr>
        <w:jc w:val="center"/>
        <w:rPr>
          <w:b/>
          <w:sz w:val="28"/>
          <w:szCs w:val="28"/>
        </w:rPr>
      </w:pPr>
      <w:r w:rsidRPr="00BD2F35">
        <w:rPr>
          <w:b/>
          <w:noProof/>
          <w:sz w:val="28"/>
          <w:szCs w:val="28"/>
          <w:lang w:val="en-GB" w:eastAsia="en-GB" w:bidi="ar-SA"/>
        </w:rPr>
        <w:drawing>
          <wp:inline distT="0" distB="0" distL="0" distR="0">
            <wp:extent cx="4005165" cy="3298371"/>
            <wp:effectExtent l="19050" t="0" r="0" b="0"/>
            <wp:docPr id="2" name="Picture 23" descr="Community Planning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mmunity Planning CMYK"/>
                    <pic:cNvPicPr>
                      <a:picLocks noChangeAspect="1" noChangeArrowheads="1"/>
                    </pic:cNvPicPr>
                  </pic:nvPicPr>
                  <pic:blipFill>
                    <a:blip r:embed="rId8" cstate="print"/>
                    <a:srcRect/>
                    <a:stretch>
                      <a:fillRect/>
                    </a:stretch>
                  </pic:blipFill>
                  <pic:spPr bwMode="auto">
                    <a:xfrm>
                      <a:off x="0" y="0"/>
                      <a:ext cx="3996054" cy="3290868"/>
                    </a:xfrm>
                    <a:prstGeom prst="rect">
                      <a:avLst/>
                    </a:prstGeom>
                    <a:noFill/>
                    <a:ln w="9525">
                      <a:noFill/>
                      <a:miter lim="800000"/>
                      <a:headEnd/>
                      <a:tailEnd/>
                    </a:ln>
                  </pic:spPr>
                </pic:pic>
              </a:graphicData>
            </a:graphic>
          </wp:inline>
        </w:drawing>
      </w:r>
    </w:p>
    <w:p w:rsidR="001338F3" w:rsidRPr="00EE5CAF" w:rsidRDefault="00232638" w:rsidP="00EE5CAF">
      <w:pPr>
        <w:ind w:firstLine="360"/>
        <w:rPr>
          <w:b/>
          <w:sz w:val="28"/>
          <w:szCs w:val="28"/>
        </w:rPr>
      </w:pPr>
      <w:r>
        <w:rPr>
          <w:b/>
          <w:sz w:val="28"/>
          <w:szCs w:val="28"/>
        </w:rPr>
        <w:br w:type="page"/>
      </w:r>
    </w:p>
    <w:p w:rsidR="001338F3" w:rsidRPr="008C5E65" w:rsidRDefault="001338F3" w:rsidP="001338F3">
      <w:pPr>
        <w:autoSpaceDE w:val="0"/>
        <w:autoSpaceDN w:val="0"/>
        <w:adjustRightInd w:val="0"/>
        <w:rPr>
          <w:rFonts w:cs="Arial"/>
          <w:b/>
          <w:lang w:eastAsia="en-GB"/>
        </w:rPr>
      </w:pPr>
    </w:p>
    <w:p w:rsidR="004139D9" w:rsidRDefault="004139D9" w:rsidP="004139D9">
      <w:pPr>
        <w:rPr>
          <w:rFonts w:cs="Arial"/>
          <w:b/>
          <w:sz w:val="28"/>
          <w:szCs w:val="28"/>
        </w:rPr>
      </w:pPr>
      <w:r>
        <w:rPr>
          <w:rFonts w:cs="Arial"/>
          <w:b/>
          <w:sz w:val="28"/>
          <w:szCs w:val="28"/>
        </w:rPr>
        <w:t xml:space="preserve">Sustainable and Inclusive Economic Growth PIP </w:t>
      </w:r>
    </w:p>
    <w:p w:rsidR="00A9524C" w:rsidRPr="001E49DC" w:rsidRDefault="00A9524C" w:rsidP="00A9524C">
      <w:pPr>
        <w:rPr>
          <w:rFonts w:cs="Arial"/>
        </w:rPr>
      </w:pPr>
    </w:p>
    <w:p w:rsidR="00A9524C" w:rsidRPr="00873559" w:rsidRDefault="00316E8B" w:rsidP="00873559">
      <w:pPr>
        <w:pStyle w:val="ListParagraph"/>
        <w:numPr>
          <w:ilvl w:val="0"/>
          <w:numId w:val="42"/>
        </w:numPr>
        <w:ind w:left="426" w:hanging="426"/>
        <w:rPr>
          <w:rFonts w:cs="Arial"/>
          <w:b/>
        </w:rPr>
      </w:pPr>
      <w:r>
        <w:rPr>
          <w:rFonts w:cs="Arial"/>
          <w:b/>
        </w:rPr>
        <w:t>Poverty</w:t>
      </w:r>
      <w:r w:rsidR="003070DB">
        <w:rPr>
          <w:rFonts w:cs="Arial"/>
          <w:b/>
        </w:rPr>
        <w:t>,</w:t>
      </w:r>
      <w:r w:rsidR="00A9524C" w:rsidRPr="00873559">
        <w:rPr>
          <w:rFonts w:cs="Arial"/>
          <w:b/>
        </w:rPr>
        <w:t xml:space="preserve"> </w:t>
      </w:r>
      <w:r w:rsidR="002B1C29" w:rsidRPr="00873559">
        <w:rPr>
          <w:rFonts w:cs="Arial"/>
          <w:b/>
        </w:rPr>
        <w:t>D</w:t>
      </w:r>
      <w:r w:rsidR="00A9524C" w:rsidRPr="00873559">
        <w:rPr>
          <w:rFonts w:cs="Arial"/>
          <w:b/>
        </w:rPr>
        <w:t>eprivation and Inequality</w:t>
      </w:r>
    </w:p>
    <w:p w:rsidR="000D62D4" w:rsidRDefault="00A9524C" w:rsidP="00A9524C">
      <w:pPr>
        <w:rPr>
          <w:rFonts w:cs="Arial"/>
        </w:rPr>
      </w:pPr>
      <w:r w:rsidRPr="001E49DC">
        <w:rPr>
          <w:rFonts w:cs="Arial"/>
        </w:rPr>
        <w:t>Th</w:t>
      </w:r>
      <w:r w:rsidR="00936E99">
        <w:rPr>
          <w:rFonts w:cs="Arial"/>
        </w:rPr>
        <w:t>e Sustainable and Inclusive</w:t>
      </w:r>
      <w:r w:rsidR="000D62D4">
        <w:rPr>
          <w:rFonts w:cs="Arial"/>
        </w:rPr>
        <w:t xml:space="preserve"> </w:t>
      </w:r>
      <w:r w:rsidR="003070DB">
        <w:rPr>
          <w:rFonts w:cs="Arial"/>
        </w:rPr>
        <w:t xml:space="preserve">Economic Growth </w:t>
      </w:r>
      <w:r w:rsidR="00EF3B70">
        <w:rPr>
          <w:rFonts w:cs="Arial"/>
        </w:rPr>
        <w:t>P</w:t>
      </w:r>
      <w:r w:rsidR="00936E99">
        <w:rPr>
          <w:rFonts w:cs="Arial"/>
        </w:rPr>
        <w:t xml:space="preserve">lan will contribute significantly to tackling poverty, deprivation and </w:t>
      </w:r>
      <w:r w:rsidR="00232758">
        <w:rPr>
          <w:rFonts w:cs="Arial"/>
        </w:rPr>
        <w:t>i</w:t>
      </w:r>
      <w:r w:rsidR="00936E99">
        <w:rPr>
          <w:rFonts w:cs="Arial"/>
        </w:rPr>
        <w:t>nequality in South Lanarkshire</w:t>
      </w:r>
      <w:r w:rsidR="00EE5CAF">
        <w:rPr>
          <w:rFonts w:cs="Arial"/>
        </w:rPr>
        <w:t xml:space="preserve"> a</w:t>
      </w:r>
      <w:r w:rsidR="003070DB">
        <w:rPr>
          <w:rFonts w:cs="Arial"/>
        </w:rPr>
        <w:t>cross the 3 strategic o</w:t>
      </w:r>
      <w:r w:rsidR="00BF2A38">
        <w:rPr>
          <w:rFonts w:cs="Arial"/>
        </w:rPr>
        <w:t>utcomes:</w:t>
      </w:r>
    </w:p>
    <w:p w:rsidR="003B51E0" w:rsidRDefault="003B51E0" w:rsidP="00A9524C">
      <w:pPr>
        <w:rPr>
          <w:rFonts w:cs="Arial"/>
        </w:rPr>
      </w:pPr>
    </w:p>
    <w:p w:rsidR="000D62D4" w:rsidRDefault="000D62D4" w:rsidP="000D62D4">
      <w:pPr>
        <w:pStyle w:val="ListParagraph"/>
        <w:numPr>
          <w:ilvl w:val="0"/>
          <w:numId w:val="34"/>
        </w:numPr>
        <w:autoSpaceDE w:val="0"/>
        <w:autoSpaceDN w:val="0"/>
        <w:adjustRightInd w:val="0"/>
        <w:contextualSpacing w:val="0"/>
        <w:rPr>
          <w:rFonts w:cs="Arial"/>
          <w:lang w:eastAsia="en-GB"/>
        </w:rPr>
      </w:pPr>
      <w:r w:rsidRPr="008C5E65">
        <w:rPr>
          <w:rFonts w:cs="Arial"/>
        </w:rPr>
        <w:t>A Supportive Business Environm</w:t>
      </w:r>
      <w:r w:rsidR="003070DB">
        <w:rPr>
          <w:rFonts w:cs="Arial"/>
        </w:rPr>
        <w:t>ent exists in South Lanarkshire</w:t>
      </w:r>
      <w:r w:rsidR="00BF2A38">
        <w:rPr>
          <w:rFonts w:cs="Arial"/>
        </w:rPr>
        <w:t>;</w:t>
      </w:r>
    </w:p>
    <w:p w:rsidR="000D62D4" w:rsidRDefault="000D62D4" w:rsidP="000D62D4">
      <w:pPr>
        <w:pStyle w:val="ListParagraph"/>
        <w:numPr>
          <w:ilvl w:val="0"/>
          <w:numId w:val="34"/>
        </w:numPr>
        <w:contextualSpacing w:val="0"/>
        <w:rPr>
          <w:rFonts w:cs="Arial"/>
        </w:rPr>
      </w:pPr>
      <w:r w:rsidRPr="008C5E65">
        <w:rPr>
          <w:rFonts w:cs="Arial"/>
        </w:rPr>
        <w:t>Employment and further education opportunities are maximised for S</w:t>
      </w:r>
      <w:r w:rsidR="003070DB">
        <w:rPr>
          <w:rFonts w:cs="Arial"/>
        </w:rPr>
        <w:t>outh Lanarkshire’s young people</w:t>
      </w:r>
      <w:r w:rsidR="00BF2A38">
        <w:rPr>
          <w:rFonts w:cs="Arial"/>
        </w:rPr>
        <w:t>; and</w:t>
      </w:r>
    </w:p>
    <w:p w:rsidR="000D62D4" w:rsidRPr="00307DAD" w:rsidRDefault="000D62D4" w:rsidP="000D62D4">
      <w:pPr>
        <w:pStyle w:val="ListParagraph"/>
        <w:numPr>
          <w:ilvl w:val="0"/>
          <w:numId w:val="34"/>
        </w:numPr>
        <w:rPr>
          <w:rFonts w:cs="Arial"/>
        </w:rPr>
      </w:pPr>
      <w:r w:rsidRPr="00307DAD">
        <w:rPr>
          <w:rFonts w:cs="Arial"/>
        </w:rPr>
        <w:t xml:space="preserve"> Residents at greatest risk of living in poverty, whether in or out of work receive the support they need to progress into work that pays and provides opportunities for progression.</w:t>
      </w:r>
    </w:p>
    <w:p w:rsidR="000D62D4" w:rsidRDefault="000D62D4" w:rsidP="000D62D4">
      <w:pPr>
        <w:autoSpaceDE w:val="0"/>
        <w:autoSpaceDN w:val="0"/>
        <w:adjustRightInd w:val="0"/>
        <w:rPr>
          <w:rFonts w:cs="Arial"/>
          <w:lang w:eastAsia="en-GB"/>
        </w:rPr>
      </w:pPr>
    </w:p>
    <w:p w:rsidR="000D62D4" w:rsidRPr="000D62D4" w:rsidRDefault="000D62D4" w:rsidP="000D62D4">
      <w:pPr>
        <w:autoSpaceDE w:val="0"/>
        <w:autoSpaceDN w:val="0"/>
        <w:adjustRightInd w:val="0"/>
        <w:rPr>
          <w:rFonts w:cs="Arial"/>
          <w:lang w:eastAsia="en-GB"/>
        </w:rPr>
      </w:pPr>
      <w:r>
        <w:rPr>
          <w:rFonts w:cs="Arial"/>
          <w:lang w:eastAsia="en-GB"/>
        </w:rPr>
        <w:t>M</w:t>
      </w:r>
      <w:r w:rsidRPr="000D62D4">
        <w:rPr>
          <w:rFonts w:cs="Arial"/>
          <w:lang w:eastAsia="en-GB"/>
        </w:rPr>
        <w:t xml:space="preserve">echanisms </w:t>
      </w:r>
      <w:r>
        <w:rPr>
          <w:rFonts w:cs="Arial"/>
          <w:lang w:eastAsia="en-GB"/>
        </w:rPr>
        <w:t xml:space="preserve">will be built in </w:t>
      </w:r>
      <w:r w:rsidRPr="000D62D4">
        <w:rPr>
          <w:rFonts w:cs="Arial"/>
          <w:lang w:eastAsia="en-GB"/>
        </w:rPr>
        <w:t>to ensure when supporting and growing our local economy we are doing so in a manner that sees inclusive growth as key, creating and sustaining employment that pays and offers progression.</w:t>
      </w:r>
      <w:r w:rsidR="00232758">
        <w:rPr>
          <w:rFonts w:cs="Arial"/>
          <w:lang w:eastAsia="en-GB"/>
        </w:rPr>
        <w:t xml:space="preserve"> </w:t>
      </w:r>
      <w:r w:rsidRPr="000D62D4">
        <w:rPr>
          <w:rFonts w:cs="Arial"/>
          <w:lang w:eastAsia="en-GB"/>
        </w:rPr>
        <w:t xml:space="preserve"> In terms of the </w:t>
      </w:r>
      <w:r w:rsidR="003070DB">
        <w:rPr>
          <w:rFonts w:cs="Arial"/>
          <w:lang w:eastAsia="en-GB"/>
        </w:rPr>
        <w:t>P</w:t>
      </w:r>
      <w:r w:rsidRPr="000D62D4">
        <w:rPr>
          <w:rFonts w:cs="Arial"/>
          <w:lang w:eastAsia="en-GB"/>
        </w:rPr>
        <w:t>artnership’s work to support residents young and older into work and to tackle local inequalities, it will require further targeting of resources to ensure we are engaging those communities and groups of individuals who do not currently benefit from inclusive growth.</w:t>
      </w:r>
    </w:p>
    <w:p w:rsidR="000D62D4" w:rsidRDefault="000D62D4" w:rsidP="000D62D4">
      <w:pPr>
        <w:autoSpaceDE w:val="0"/>
        <w:autoSpaceDN w:val="0"/>
        <w:adjustRightInd w:val="0"/>
        <w:rPr>
          <w:rFonts w:cs="Arial"/>
          <w:lang w:eastAsia="en-GB"/>
        </w:rPr>
      </w:pPr>
    </w:p>
    <w:p w:rsidR="000F60E1" w:rsidRDefault="00883594" w:rsidP="00883594">
      <w:pPr>
        <w:autoSpaceDE w:val="0"/>
        <w:autoSpaceDN w:val="0"/>
        <w:adjustRightInd w:val="0"/>
        <w:rPr>
          <w:rFonts w:cs="Arial"/>
        </w:rPr>
      </w:pPr>
      <w:r>
        <w:rPr>
          <w:rFonts w:cs="Arial"/>
          <w:lang w:eastAsia="en-GB"/>
        </w:rPr>
        <w:t>In terms of the</w:t>
      </w:r>
      <w:r w:rsidR="00A9524C" w:rsidRPr="001E49DC">
        <w:rPr>
          <w:rFonts w:cs="Arial"/>
        </w:rPr>
        <w:t xml:space="preserve"> 7 approaches to reducing poverty, deprivation and inequality</w:t>
      </w:r>
      <w:r w:rsidR="00EF3B70">
        <w:rPr>
          <w:rFonts w:cs="Arial"/>
        </w:rPr>
        <w:t>, this P</w:t>
      </w:r>
      <w:r>
        <w:rPr>
          <w:rFonts w:cs="Arial"/>
        </w:rPr>
        <w:t xml:space="preserve">lan will </w:t>
      </w:r>
      <w:r w:rsidR="00A9524C" w:rsidRPr="001E49DC">
        <w:rPr>
          <w:rFonts w:cs="Arial"/>
        </w:rPr>
        <w:t xml:space="preserve">impact on </w:t>
      </w:r>
      <w:r w:rsidR="000F60E1">
        <w:rPr>
          <w:rFonts w:cs="Arial"/>
        </w:rPr>
        <w:t xml:space="preserve">5 of the themes. </w:t>
      </w:r>
    </w:p>
    <w:p w:rsidR="00D0795E" w:rsidRDefault="00D0795E" w:rsidP="00D0795E">
      <w:pPr>
        <w:pStyle w:val="ListParagraph"/>
        <w:tabs>
          <w:tab w:val="left" w:pos="8222"/>
        </w:tabs>
        <w:ind w:left="851"/>
        <w:rPr>
          <w:rFonts w:cs="Arial"/>
          <w:b/>
        </w:rPr>
      </w:pPr>
    </w:p>
    <w:p w:rsidR="000F60E1" w:rsidRDefault="00316E8B" w:rsidP="00316E8B">
      <w:pPr>
        <w:pStyle w:val="ListParagraph"/>
        <w:numPr>
          <w:ilvl w:val="0"/>
          <w:numId w:val="32"/>
        </w:numPr>
        <w:tabs>
          <w:tab w:val="left" w:pos="8222"/>
        </w:tabs>
        <w:ind w:left="709" w:hanging="425"/>
        <w:rPr>
          <w:rFonts w:cs="Arial"/>
          <w:b/>
        </w:rPr>
      </w:pPr>
      <w:r>
        <w:rPr>
          <w:rFonts w:cs="Arial"/>
          <w:b/>
        </w:rPr>
        <w:t xml:space="preserve"> </w:t>
      </w:r>
      <w:r w:rsidR="00C263F9" w:rsidRPr="00CC03A9">
        <w:rPr>
          <w:rFonts w:cs="Arial"/>
          <w:b/>
        </w:rPr>
        <w:t>Family focused inclusion strategy</w:t>
      </w:r>
      <w:r w:rsidR="00FB18C2">
        <w:rPr>
          <w:rFonts w:cs="Arial"/>
          <w:b/>
        </w:rPr>
        <w:t xml:space="preserve"> / 2. Supporting employment and childcare</w:t>
      </w:r>
    </w:p>
    <w:p w:rsidR="004875DE" w:rsidRDefault="009475A7" w:rsidP="00FB18C2">
      <w:pPr>
        <w:tabs>
          <w:tab w:val="left" w:pos="8222"/>
        </w:tabs>
        <w:ind w:left="709"/>
        <w:rPr>
          <w:rFonts w:cs="Arial"/>
        </w:rPr>
      </w:pPr>
      <w:r>
        <w:rPr>
          <w:rFonts w:cs="Arial"/>
          <w:b/>
        </w:rPr>
        <w:t xml:space="preserve"> </w:t>
      </w:r>
      <w:r w:rsidR="00FB18C2" w:rsidRPr="00FB18C2">
        <w:rPr>
          <w:rFonts w:cs="Arial"/>
        </w:rPr>
        <w:t>Quality advice, training and employability support is key to tackling employment and income</w:t>
      </w:r>
    </w:p>
    <w:p w:rsidR="004875DE" w:rsidRDefault="00FB18C2" w:rsidP="00FB18C2">
      <w:pPr>
        <w:tabs>
          <w:tab w:val="left" w:pos="8222"/>
        </w:tabs>
        <w:ind w:left="709"/>
        <w:rPr>
          <w:rFonts w:cs="Arial"/>
        </w:rPr>
      </w:pPr>
      <w:r w:rsidRPr="00FB18C2">
        <w:rPr>
          <w:rFonts w:cs="Arial"/>
        </w:rPr>
        <w:t xml:space="preserve"> deprivation.  Many residents are able to move into or between jobs with minimal support</w:t>
      </w:r>
    </w:p>
    <w:p w:rsidR="00FB18C2" w:rsidRPr="00FB18C2" w:rsidRDefault="004875DE" w:rsidP="00FB18C2">
      <w:pPr>
        <w:tabs>
          <w:tab w:val="left" w:pos="8222"/>
        </w:tabs>
        <w:ind w:left="709"/>
        <w:rPr>
          <w:rFonts w:cs="Arial"/>
        </w:rPr>
      </w:pPr>
      <w:r>
        <w:rPr>
          <w:rFonts w:cs="Arial"/>
        </w:rPr>
        <w:t xml:space="preserve"> </w:t>
      </w:r>
      <w:r w:rsidR="00FB18C2" w:rsidRPr="00FB18C2">
        <w:rPr>
          <w:rFonts w:cs="Arial"/>
        </w:rPr>
        <w:t>however there are others who need assistance and who may have barriers to work that</w:t>
      </w:r>
    </w:p>
    <w:p w:rsidR="00FB18C2" w:rsidRPr="00FB18C2" w:rsidRDefault="00FB18C2" w:rsidP="00FB18C2">
      <w:pPr>
        <w:tabs>
          <w:tab w:val="left" w:pos="8222"/>
        </w:tabs>
        <w:ind w:left="709"/>
        <w:rPr>
          <w:rFonts w:cs="Arial"/>
        </w:rPr>
      </w:pPr>
      <w:r w:rsidRPr="00FB18C2">
        <w:rPr>
          <w:rFonts w:cs="Arial"/>
        </w:rPr>
        <w:t xml:space="preserve"> need to be removed.</w:t>
      </w:r>
    </w:p>
    <w:p w:rsidR="00316E8B" w:rsidRPr="006E4E60" w:rsidRDefault="00316E8B" w:rsidP="000F60E1">
      <w:pPr>
        <w:tabs>
          <w:tab w:val="left" w:pos="8222"/>
        </w:tabs>
        <w:ind w:left="284"/>
        <w:rPr>
          <w:rFonts w:cs="Arial"/>
        </w:rPr>
      </w:pPr>
    </w:p>
    <w:p w:rsidR="00EF3FA1" w:rsidRDefault="000F60E1" w:rsidP="009475A7">
      <w:pPr>
        <w:tabs>
          <w:tab w:val="left" w:pos="8222"/>
        </w:tabs>
        <w:ind w:left="709"/>
        <w:rPr>
          <w:rFonts w:cs="Arial"/>
          <w:b/>
          <w:highlight w:val="yellow"/>
        </w:rPr>
      </w:pPr>
      <w:r w:rsidRPr="009055C5">
        <w:rPr>
          <w:rFonts w:cs="Arial"/>
        </w:rPr>
        <w:t>O</w:t>
      </w:r>
      <w:r>
        <w:rPr>
          <w:rFonts w:cs="Arial"/>
        </w:rPr>
        <w:t>ur work to engage and support low income and vulnerable parents into and within work should have a positive impact on household incomes, financial wellbeing and families ability to engage fully in community life.</w:t>
      </w:r>
      <w:r>
        <w:rPr>
          <w:rFonts w:cs="Arial"/>
          <w:b/>
          <w:highlight w:val="yellow"/>
        </w:rPr>
        <w:t xml:space="preserve"> </w:t>
      </w:r>
    </w:p>
    <w:p w:rsidR="00023AD5" w:rsidRDefault="00023AD5" w:rsidP="000F60E1">
      <w:pPr>
        <w:tabs>
          <w:tab w:val="left" w:pos="8222"/>
        </w:tabs>
        <w:ind w:left="284"/>
        <w:rPr>
          <w:rFonts w:cs="Arial"/>
          <w:b/>
          <w:highlight w:val="yellow"/>
        </w:rPr>
      </w:pPr>
    </w:p>
    <w:p w:rsidR="002B2DAD" w:rsidRPr="00287DBC" w:rsidRDefault="00023AD5" w:rsidP="00DC702E">
      <w:pPr>
        <w:ind w:firstLine="284"/>
        <w:rPr>
          <w:rFonts w:cs="Arial"/>
          <w:b/>
        </w:rPr>
      </w:pPr>
      <w:r>
        <w:rPr>
          <w:rFonts w:cs="Arial"/>
          <w:b/>
        </w:rPr>
        <w:t>4</w:t>
      </w:r>
      <w:r w:rsidR="00C41F47">
        <w:rPr>
          <w:rFonts w:cs="Arial"/>
          <w:b/>
        </w:rPr>
        <w:t>.</w:t>
      </w:r>
      <w:r w:rsidR="00535AE9">
        <w:rPr>
          <w:rFonts w:cs="Arial"/>
          <w:b/>
        </w:rPr>
        <w:tab/>
      </w:r>
      <w:r w:rsidR="002B2DAD" w:rsidRPr="00287DBC">
        <w:rPr>
          <w:rFonts w:cs="Arial"/>
          <w:b/>
        </w:rPr>
        <w:t>Supporting education, skills, development – young people</w:t>
      </w:r>
    </w:p>
    <w:p w:rsidR="006E4E60" w:rsidRDefault="006E4E60" w:rsidP="009475A7">
      <w:pPr>
        <w:tabs>
          <w:tab w:val="left" w:pos="8222"/>
        </w:tabs>
        <w:ind w:left="709"/>
        <w:rPr>
          <w:rFonts w:cs="Arial"/>
        </w:rPr>
      </w:pPr>
      <w:r w:rsidRPr="00EE10A3">
        <w:rPr>
          <w:rFonts w:cs="Arial"/>
        </w:rPr>
        <w:t>This</w:t>
      </w:r>
      <w:r w:rsidR="004E0658">
        <w:rPr>
          <w:rFonts w:cs="Arial"/>
        </w:rPr>
        <w:t xml:space="preserve"> P</w:t>
      </w:r>
      <w:r w:rsidRPr="00EE10A3">
        <w:rPr>
          <w:rFonts w:cs="Arial"/>
        </w:rPr>
        <w:t>lan has a strong focus on young people and how we work together</w:t>
      </w:r>
      <w:r w:rsidR="00BC5FB5">
        <w:rPr>
          <w:rFonts w:cs="Arial"/>
        </w:rPr>
        <w:t xml:space="preserve"> </w:t>
      </w:r>
      <w:r w:rsidRPr="00EE10A3">
        <w:rPr>
          <w:rFonts w:cs="Arial"/>
        </w:rPr>
        <w:t xml:space="preserve">to help young people </w:t>
      </w:r>
      <w:r w:rsidR="00A520D6" w:rsidRPr="00EE10A3">
        <w:rPr>
          <w:rFonts w:cs="Arial"/>
        </w:rPr>
        <w:t xml:space="preserve">make ambitious choices and </w:t>
      </w:r>
      <w:r w:rsidRPr="00EE10A3">
        <w:rPr>
          <w:rFonts w:cs="Arial"/>
        </w:rPr>
        <w:t>achieve their full potential educationally and in work.</w:t>
      </w:r>
      <w:r w:rsidR="00EF3FA1">
        <w:rPr>
          <w:rFonts w:cs="Arial"/>
        </w:rPr>
        <w:t xml:space="preserve"> </w:t>
      </w:r>
      <w:r w:rsidR="00A520D6" w:rsidRPr="00EE10A3">
        <w:rPr>
          <w:rFonts w:cs="Arial"/>
        </w:rPr>
        <w:t xml:space="preserve"> </w:t>
      </w:r>
      <w:r w:rsidRPr="00EE10A3">
        <w:rPr>
          <w:rFonts w:cs="Arial"/>
        </w:rPr>
        <w:t>This will include a specific focus on vulnerable young people</w:t>
      </w:r>
      <w:r w:rsidR="00A520D6" w:rsidRPr="00EE10A3">
        <w:rPr>
          <w:rFonts w:cs="Arial"/>
        </w:rPr>
        <w:t xml:space="preserve"> such as care leavers who face addi</w:t>
      </w:r>
      <w:r w:rsidR="00BC5FB5">
        <w:rPr>
          <w:rFonts w:cs="Arial"/>
        </w:rPr>
        <w:t>tional challenges and barriers.</w:t>
      </w:r>
    </w:p>
    <w:p w:rsidR="009475A7" w:rsidRPr="00EE10A3" w:rsidRDefault="009475A7" w:rsidP="009475A7">
      <w:pPr>
        <w:tabs>
          <w:tab w:val="left" w:pos="8222"/>
        </w:tabs>
        <w:ind w:left="709"/>
        <w:rPr>
          <w:rFonts w:cs="Arial"/>
        </w:rPr>
      </w:pPr>
    </w:p>
    <w:p w:rsidR="006E4E60" w:rsidRDefault="00A520D6" w:rsidP="009475A7">
      <w:pPr>
        <w:pStyle w:val="ListBullet"/>
        <w:numPr>
          <w:ilvl w:val="0"/>
          <w:numId w:val="0"/>
        </w:numPr>
        <w:ind w:left="709"/>
        <w:rPr>
          <w:rFonts w:cs="Arial"/>
          <w:highlight w:val="yellow"/>
        </w:rPr>
      </w:pPr>
      <w:r>
        <w:rPr>
          <w:rFonts w:ascii="Arial" w:hAnsi="Arial" w:cs="Arial"/>
          <w:sz w:val="22"/>
          <w:szCs w:val="22"/>
        </w:rPr>
        <w:t xml:space="preserve">Our </w:t>
      </w:r>
      <w:r w:rsidR="003070DB">
        <w:rPr>
          <w:rFonts w:ascii="Arial" w:hAnsi="Arial" w:cs="Arial"/>
          <w:sz w:val="22"/>
          <w:szCs w:val="22"/>
        </w:rPr>
        <w:t>P</w:t>
      </w:r>
      <w:r>
        <w:rPr>
          <w:rFonts w:ascii="Arial" w:hAnsi="Arial" w:cs="Arial"/>
          <w:sz w:val="22"/>
          <w:szCs w:val="22"/>
        </w:rPr>
        <w:t xml:space="preserve">lan reflects the need to offer </w:t>
      </w:r>
      <w:r w:rsidRPr="001338F3">
        <w:rPr>
          <w:rFonts w:ascii="Arial" w:hAnsi="Arial" w:cs="Arial"/>
          <w:sz w:val="22"/>
          <w:szCs w:val="22"/>
        </w:rPr>
        <w:t xml:space="preserve">a rich blend of learning, including vocational education, </w:t>
      </w:r>
      <w:r>
        <w:rPr>
          <w:rFonts w:ascii="Arial" w:hAnsi="Arial" w:cs="Arial"/>
          <w:sz w:val="22"/>
          <w:szCs w:val="22"/>
        </w:rPr>
        <w:t xml:space="preserve">and </w:t>
      </w:r>
      <w:r w:rsidRPr="001338F3">
        <w:rPr>
          <w:rFonts w:ascii="Arial" w:hAnsi="Arial" w:cs="Arial"/>
          <w:sz w:val="22"/>
          <w:szCs w:val="22"/>
        </w:rPr>
        <w:t xml:space="preserve">employers </w:t>
      </w:r>
      <w:r>
        <w:rPr>
          <w:rFonts w:ascii="Arial" w:hAnsi="Arial" w:cs="Arial"/>
          <w:sz w:val="22"/>
          <w:szCs w:val="22"/>
        </w:rPr>
        <w:t xml:space="preserve">will play an active role in shaping our approaches to developing the future </w:t>
      </w:r>
      <w:r w:rsidRPr="001338F3">
        <w:rPr>
          <w:rFonts w:ascii="Arial" w:hAnsi="Arial" w:cs="Arial"/>
          <w:sz w:val="22"/>
          <w:szCs w:val="22"/>
        </w:rPr>
        <w:t>workforce</w:t>
      </w:r>
      <w:r>
        <w:rPr>
          <w:rFonts w:ascii="Arial" w:hAnsi="Arial" w:cs="Arial"/>
          <w:sz w:val="22"/>
          <w:szCs w:val="22"/>
        </w:rPr>
        <w:t>.</w:t>
      </w:r>
    </w:p>
    <w:p w:rsidR="006E4E60" w:rsidRDefault="006E4E60" w:rsidP="006E4E60">
      <w:pPr>
        <w:pStyle w:val="ListParagraph"/>
        <w:tabs>
          <w:tab w:val="left" w:pos="8222"/>
        </w:tabs>
        <w:ind w:left="851"/>
        <w:rPr>
          <w:rFonts w:cs="Arial"/>
          <w:highlight w:val="yellow"/>
        </w:rPr>
      </w:pPr>
    </w:p>
    <w:p w:rsidR="00C263F9" w:rsidRPr="009475A7" w:rsidRDefault="00E638AE" w:rsidP="009475A7">
      <w:pPr>
        <w:pStyle w:val="ListParagraph"/>
        <w:numPr>
          <w:ilvl w:val="0"/>
          <w:numId w:val="43"/>
        </w:numPr>
        <w:tabs>
          <w:tab w:val="left" w:pos="8222"/>
        </w:tabs>
        <w:rPr>
          <w:rFonts w:cs="Arial"/>
          <w:b/>
        </w:rPr>
      </w:pPr>
      <w:r w:rsidRPr="009475A7">
        <w:rPr>
          <w:rFonts w:cs="Arial"/>
          <w:b/>
        </w:rPr>
        <w:t>T</w:t>
      </w:r>
      <w:r w:rsidR="00BC2348">
        <w:rPr>
          <w:rFonts w:cs="Arial"/>
          <w:b/>
        </w:rPr>
        <w:t>ackling h</w:t>
      </w:r>
      <w:r w:rsidR="00C263F9" w:rsidRPr="009475A7">
        <w:rPr>
          <w:rFonts w:cs="Arial"/>
          <w:b/>
        </w:rPr>
        <w:t>ealth inequalities</w:t>
      </w:r>
    </w:p>
    <w:p w:rsidR="000D62D4" w:rsidRDefault="00EE10A3" w:rsidP="009475A7">
      <w:pPr>
        <w:tabs>
          <w:tab w:val="left" w:pos="8222"/>
        </w:tabs>
        <w:ind w:left="709"/>
        <w:rPr>
          <w:rFonts w:cs="Arial"/>
        </w:rPr>
      </w:pPr>
      <w:r w:rsidRPr="00EE10A3">
        <w:rPr>
          <w:rFonts w:cs="Arial"/>
        </w:rPr>
        <w:t>Supporting residents and in particular vulnerable residents, young and adult</w:t>
      </w:r>
      <w:r w:rsidR="00704605">
        <w:rPr>
          <w:rFonts w:cs="Arial"/>
        </w:rPr>
        <w:t>s</w:t>
      </w:r>
      <w:r w:rsidRPr="00EE10A3">
        <w:rPr>
          <w:rFonts w:cs="Arial"/>
        </w:rPr>
        <w:t xml:space="preserve"> towards, into and within employment, will have a positive impact on those individuals and their </w:t>
      </w:r>
      <w:r w:rsidR="009E116E" w:rsidRPr="00EE10A3">
        <w:rPr>
          <w:rFonts w:cs="Arial"/>
        </w:rPr>
        <w:t>families’</w:t>
      </w:r>
      <w:r w:rsidRPr="00EE10A3">
        <w:rPr>
          <w:rFonts w:cs="Arial"/>
        </w:rPr>
        <w:t xml:space="preserve"> health and wellbeing.</w:t>
      </w:r>
    </w:p>
    <w:p w:rsidR="00EE10A3" w:rsidRDefault="00EE10A3" w:rsidP="00EE10A3">
      <w:pPr>
        <w:tabs>
          <w:tab w:val="left" w:pos="8222"/>
        </w:tabs>
        <w:ind w:left="284"/>
        <w:rPr>
          <w:rFonts w:cs="Arial"/>
        </w:rPr>
      </w:pPr>
    </w:p>
    <w:p w:rsidR="00EE10A3" w:rsidRPr="009475A7" w:rsidRDefault="00EE10A3" w:rsidP="009475A7">
      <w:pPr>
        <w:pStyle w:val="ListParagraph"/>
        <w:numPr>
          <w:ilvl w:val="0"/>
          <w:numId w:val="44"/>
        </w:numPr>
        <w:tabs>
          <w:tab w:val="left" w:pos="8222"/>
        </w:tabs>
        <w:rPr>
          <w:rFonts w:cs="Arial"/>
          <w:b/>
        </w:rPr>
      </w:pPr>
      <w:r w:rsidRPr="009475A7">
        <w:rPr>
          <w:rFonts w:cs="Arial"/>
          <w:b/>
        </w:rPr>
        <w:t>Improving the local environment</w:t>
      </w:r>
    </w:p>
    <w:p w:rsidR="00EE10A3" w:rsidRPr="00F66FA2" w:rsidRDefault="00F66FA2" w:rsidP="009475A7">
      <w:pPr>
        <w:tabs>
          <w:tab w:val="left" w:pos="8222"/>
        </w:tabs>
        <w:ind w:left="709"/>
        <w:rPr>
          <w:rFonts w:cs="Arial"/>
        </w:rPr>
      </w:pPr>
      <w:r>
        <w:rPr>
          <w:rFonts w:cs="Arial"/>
        </w:rPr>
        <w:t>Through maximising the community benefits arising from the delivery of City Deal contracts, we will be contributing to improving the local environment and local amenities wherever possible focusing on our more disadvantaged areas.</w:t>
      </w:r>
    </w:p>
    <w:p w:rsidR="00EE10A3" w:rsidRDefault="00EE10A3" w:rsidP="00EE10A3">
      <w:pPr>
        <w:tabs>
          <w:tab w:val="left" w:pos="8222"/>
        </w:tabs>
        <w:ind w:left="345"/>
        <w:rPr>
          <w:rFonts w:cs="Arial"/>
          <w:b/>
        </w:rPr>
      </w:pPr>
    </w:p>
    <w:p w:rsidR="003B51E0" w:rsidRDefault="003B51E0" w:rsidP="00EE10A3">
      <w:pPr>
        <w:tabs>
          <w:tab w:val="left" w:pos="8222"/>
        </w:tabs>
        <w:ind w:left="345"/>
        <w:rPr>
          <w:rFonts w:cs="Arial"/>
          <w:b/>
        </w:rPr>
      </w:pPr>
    </w:p>
    <w:p w:rsidR="003B51E0" w:rsidRPr="00EE10A3" w:rsidRDefault="003B51E0" w:rsidP="00EE10A3">
      <w:pPr>
        <w:tabs>
          <w:tab w:val="left" w:pos="8222"/>
        </w:tabs>
        <w:ind w:left="345"/>
        <w:rPr>
          <w:rFonts w:cs="Arial"/>
          <w:b/>
        </w:rPr>
      </w:pPr>
    </w:p>
    <w:p w:rsidR="00A9524C" w:rsidRDefault="00A9524C" w:rsidP="00A9524C">
      <w:pPr>
        <w:rPr>
          <w:rFonts w:cs="Arial"/>
        </w:rPr>
      </w:pPr>
    </w:p>
    <w:p w:rsidR="00DE1DDD" w:rsidRDefault="00DE1DDD" w:rsidP="00A9524C">
      <w:pPr>
        <w:rPr>
          <w:rFonts w:cs="Arial"/>
        </w:rPr>
      </w:pPr>
    </w:p>
    <w:p w:rsidR="00FB18C2" w:rsidRDefault="00FB18C2" w:rsidP="00A9524C">
      <w:pPr>
        <w:rPr>
          <w:rFonts w:cs="Arial"/>
        </w:rPr>
      </w:pPr>
    </w:p>
    <w:p w:rsidR="00FB18C2" w:rsidRDefault="00FB18C2" w:rsidP="00A9524C">
      <w:pPr>
        <w:rPr>
          <w:rFonts w:cs="Arial"/>
        </w:rPr>
      </w:pPr>
    </w:p>
    <w:p w:rsidR="00FB18C2" w:rsidRDefault="00FB18C2" w:rsidP="00A9524C">
      <w:pPr>
        <w:rPr>
          <w:rFonts w:cs="Arial"/>
        </w:rPr>
      </w:pPr>
    </w:p>
    <w:p w:rsidR="00DE1DDD" w:rsidRPr="001E49DC" w:rsidRDefault="00DE1DDD" w:rsidP="00A9524C">
      <w:pPr>
        <w:rPr>
          <w:rFonts w:cs="Arial"/>
        </w:rPr>
      </w:pPr>
    </w:p>
    <w:p w:rsidR="007D54FF" w:rsidRDefault="00A9524C" w:rsidP="003070DB">
      <w:pPr>
        <w:tabs>
          <w:tab w:val="left" w:pos="426"/>
        </w:tabs>
        <w:rPr>
          <w:rFonts w:cs="Arial"/>
          <w:b/>
        </w:rPr>
      </w:pPr>
      <w:r w:rsidRPr="001E49DC">
        <w:rPr>
          <w:rFonts w:cs="Arial"/>
          <w:b/>
        </w:rPr>
        <w:t>2</w:t>
      </w:r>
      <w:r w:rsidR="003070DB">
        <w:rPr>
          <w:rFonts w:cs="Arial"/>
          <w:b/>
        </w:rPr>
        <w:t>.</w:t>
      </w:r>
      <w:r w:rsidRPr="001E49DC">
        <w:rPr>
          <w:rFonts w:cs="Arial"/>
          <w:b/>
        </w:rPr>
        <w:tab/>
        <w:t>Statement of Ambition</w:t>
      </w:r>
    </w:p>
    <w:p w:rsidR="00C263F9" w:rsidRPr="008C5E65" w:rsidRDefault="00C263F9" w:rsidP="0049040A">
      <w:pPr>
        <w:tabs>
          <w:tab w:val="left" w:pos="426"/>
        </w:tabs>
        <w:rPr>
          <w:rFonts w:cs="Arial"/>
          <w:lang w:eastAsia="en-GB"/>
        </w:rPr>
      </w:pPr>
      <w:r w:rsidRPr="008C5E65">
        <w:rPr>
          <w:rFonts w:cs="Arial"/>
          <w:lang w:eastAsia="en-GB"/>
        </w:rPr>
        <w:t>This</w:t>
      </w:r>
      <w:r w:rsidR="003070DB">
        <w:rPr>
          <w:rFonts w:cs="Arial"/>
          <w:lang w:eastAsia="en-GB"/>
        </w:rPr>
        <w:t xml:space="preserve"> P</w:t>
      </w:r>
      <w:r>
        <w:rPr>
          <w:rFonts w:cs="Arial"/>
          <w:lang w:eastAsia="en-GB"/>
        </w:rPr>
        <w:t xml:space="preserve">lan </w:t>
      </w:r>
      <w:r w:rsidRPr="008C5E65">
        <w:rPr>
          <w:rFonts w:cs="Arial"/>
          <w:lang w:eastAsia="en-GB"/>
        </w:rPr>
        <w:t xml:space="preserve">outlines the key improvement priorities for the South Lanarkshire Economic Growth Strategic Board addressing sustainable and inclusive economic growth over the next 3 years. </w:t>
      </w:r>
      <w:r w:rsidR="00B87402">
        <w:rPr>
          <w:rFonts w:cs="Arial"/>
          <w:lang w:eastAsia="en-GB"/>
        </w:rPr>
        <w:t xml:space="preserve"> </w:t>
      </w:r>
      <w:r w:rsidRPr="008C5E65">
        <w:rPr>
          <w:rFonts w:cs="Arial"/>
          <w:lang w:eastAsia="en-GB"/>
        </w:rPr>
        <w:t xml:space="preserve">This Plan is the Board’s contribution to the </w:t>
      </w:r>
      <w:r w:rsidR="003070DB">
        <w:rPr>
          <w:rFonts w:cs="Arial"/>
          <w:lang w:eastAsia="en-GB"/>
        </w:rPr>
        <w:t>Community Plan</w:t>
      </w:r>
      <w:r w:rsidRPr="008C5E65">
        <w:rPr>
          <w:rFonts w:cs="Arial"/>
          <w:lang w:eastAsia="en-GB"/>
        </w:rPr>
        <w:t xml:space="preserve"> for South Lanarkshire and the main mechanism through which the Economic Growth Strategic Board will report progress to the Community Planning Partnership Board.</w:t>
      </w:r>
    </w:p>
    <w:p w:rsidR="00C263F9" w:rsidRPr="008C5E65" w:rsidRDefault="00C263F9" w:rsidP="00C263F9">
      <w:pPr>
        <w:autoSpaceDE w:val="0"/>
        <w:autoSpaceDN w:val="0"/>
        <w:adjustRightInd w:val="0"/>
        <w:rPr>
          <w:rFonts w:cs="Arial"/>
          <w:lang w:eastAsia="en-GB"/>
        </w:rPr>
      </w:pPr>
    </w:p>
    <w:p w:rsidR="00C263F9" w:rsidRPr="008C5E65" w:rsidRDefault="00C263F9" w:rsidP="003070DB">
      <w:pPr>
        <w:tabs>
          <w:tab w:val="left" w:pos="360"/>
        </w:tabs>
        <w:rPr>
          <w:rFonts w:cs="Arial"/>
        </w:rPr>
      </w:pPr>
      <w:r w:rsidRPr="008C5E65">
        <w:rPr>
          <w:rFonts w:cs="Arial"/>
        </w:rPr>
        <w:t xml:space="preserve">The purpose of the Economic </w:t>
      </w:r>
      <w:r w:rsidR="000C2ED5">
        <w:rPr>
          <w:rFonts w:cs="Arial"/>
        </w:rPr>
        <w:t>G</w:t>
      </w:r>
      <w:r w:rsidRPr="008C5E65">
        <w:rPr>
          <w:rFonts w:cs="Arial"/>
        </w:rPr>
        <w:t xml:space="preserve">rowth Strategic Board is to agree, develop and monitor a coordinated South Lanarkshire CPP approach to developing and growing the local economy ensuring the application of partner powers and resources in a co-ordinated manner to achieve long term </w:t>
      </w:r>
      <w:r>
        <w:rPr>
          <w:rFonts w:cs="Arial"/>
        </w:rPr>
        <w:t xml:space="preserve">inclusive </w:t>
      </w:r>
      <w:r w:rsidRPr="008C5E65">
        <w:rPr>
          <w:rFonts w:cs="Arial"/>
        </w:rPr>
        <w:t xml:space="preserve">growth and improved quality of life for South Lanarkshire residents. </w:t>
      </w:r>
    </w:p>
    <w:p w:rsidR="00C263F9" w:rsidRPr="008C5E65" w:rsidRDefault="00C263F9" w:rsidP="00C263F9">
      <w:pPr>
        <w:tabs>
          <w:tab w:val="left" w:pos="360"/>
        </w:tabs>
        <w:jc w:val="both"/>
        <w:rPr>
          <w:rFonts w:cs="Arial"/>
        </w:rPr>
      </w:pPr>
    </w:p>
    <w:p w:rsidR="00C263F9" w:rsidRDefault="00C263F9" w:rsidP="003070DB">
      <w:pPr>
        <w:tabs>
          <w:tab w:val="left" w:pos="709"/>
        </w:tabs>
        <w:autoSpaceDE w:val="0"/>
        <w:autoSpaceDN w:val="0"/>
        <w:adjustRightInd w:val="0"/>
        <w:rPr>
          <w:rFonts w:cs="Arial"/>
          <w:lang w:eastAsia="en-GB"/>
        </w:rPr>
      </w:pPr>
      <w:r w:rsidRPr="008C5E65">
        <w:rPr>
          <w:rFonts w:cs="Arial"/>
          <w:lang w:eastAsia="en-GB"/>
        </w:rPr>
        <w:t>The Board meets on a quarterly basis and membership includes representation from the following agencies/organisations together with South Lanarkshire Council elected members and senior officers.</w:t>
      </w:r>
    </w:p>
    <w:p w:rsidR="003070DB" w:rsidRPr="008C5E65" w:rsidRDefault="003070DB" w:rsidP="00C263F9">
      <w:pPr>
        <w:autoSpaceDE w:val="0"/>
        <w:autoSpaceDN w:val="0"/>
        <w:adjustRightInd w:val="0"/>
        <w:rPr>
          <w:rFonts w:cs="Arial"/>
          <w:lang w:eastAsia="en-GB"/>
        </w:rPr>
      </w:pPr>
    </w:p>
    <w:p w:rsidR="00C263F9" w:rsidRDefault="00C263F9" w:rsidP="003070DB">
      <w:pPr>
        <w:pStyle w:val="ListParagraph"/>
        <w:numPr>
          <w:ilvl w:val="0"/>
          <w:numId w:val="45"/>
        </w:numPr>
        <w:tabs>
          <w:tab w:val="left" w:pos="360"/>
        </w:tabs>
        <w:ind w:left="709" w:hanging="283"/>
        <w:jc w:val="both"/>
        <w:rPr>
          <w:rFonts w:cs="Arial"/>
        </w:rPr>
      </w:pPr>
      <w:r w:rsidRPr="003070DB">
        <w:rPr>
          <w:rFonts w:cs="Arial"/>
        </w:rPr>
        <w:t>Department of Work and Pensions</w:t>
      </w:r>
      <w:r w:rsidR="00FE747C">
        <w:rPr>
          <w:rFonts w:cs="Arial"/>
        </w:rPr>
        <w:t>;</w:t>
      </w:r>
    </w:p>
    <w:p w:rsidR="003070DB" w:rsidRDefault="003070DB" w:rsidP="003070DB">
      <w:pPr>
        <w:pStyle w:val="ListParagraph"/>
        <w:numPr>
          <w:ilvl w:val="0"/>
          <w:numId w:val="45"/>
        </w:numPr>
        <w:tabs>
          <w:tab w:val="left" w:pos="360"/>
        </w:tabs>
        <w:ind w:left="709" w:hanging="283"/>
        <w:jc w:val="both"/>
        <w:rPr>
          <w:rFonts w:cs="Arial"/>
        </w:rPr>
      </w:pPr>
      <w:r>
        <w:rPr>
          <w:rFonts w:cs="Arial"/>
        </w:rPr>
        <w:t>Scottish Enterprise</w:t>
      </w:r>
      <w:r w:rsidR="00FE747C">
        <w:rPr>
          <w:rFonts w:cs="Arial"/>
        </w:rPr>
        <w:t>;</w:t>
      </w:r>
    </w:p>
    <w:p w:rsidR="003070DB" w:rsidRDefault="003070DB" w:rsidP="003070DB">
      <w:pPr>
        <w:pStyle w:val="ListParagraph"/>
        <w:numPr>
          <w:ilvl w:val="0"/>
          <w:numId w:val="45"/>
        </w:numPr>
        <w:tabs>
          <w:tab w:val="left" w:pos="360"/>
        </w:tabs>
        <w:ind w:left="709" w:hanging="283"/>
        <w:jc w:val="both"/>
        <w:rPr>
          <w:rFonts w:cs="Arial"/>
        </w:rPr>
      </w:pPr>
      <w:r>
        <w:rPr>
          <w:rFonts w:cs="Arial"/>
        </w:rPr>
        <w:t>Skills Development Scotland</w:t>
      </w:r>
      <w:r w:rsidR="00FE747C">
        <w:rPr>
          <w:rFonts w:cs="Arial"/>
        </w:rPr>
        <w:t>;</w:t>
      </w:r>
    </w:p>
    <w:p w:rsidR="003070DB" w:rsidRDefault="003070DB" w:rsidP="003070DB">
      <w:pPr>
        <w:pStyle w:val="ListParagraph"/>
        <w:numPr>
          <w:ilvl w:val="0"/>
          <w:numId w:val="45"/>
        </w:numPr>
        <w:tabs>
          <w:tab w:val="left" w:pos="360"/>
        </w:tabs>
        <w:ind w:left="709" w:hanging="283"/>
        <w:jc w:val="both"/>
        <w:rPr>
          <w:rFonts w:cs="Arial"/>
        </w:rPr>
      </w:pPr>
      <w:r>
        <w:rPr>
          <w:rFonts w:cs="Arial"/>
        </w:rPr>
        <w:t>NHS Lanarkshire</w:t>
      </w:r>
      <w:r w:rsidR="00FE747C">
        <w:rPr>
          <w:rFonts w:cs="Arial"/>
        </w:rPr>
        <w:t>;</w:t>
      </w:r>
    </w:p>
    <w:p w:rsidR="003070DB" w:rsidRDefault="003070DB" w:rsidP="003070DB">
      <w:pPr>
        <w:pStyle w:val="ListParagraph"/>
        <w:numPr>
          <w:ilvl w:val="0"/>
          <w:numId w:val="45"/>
        </w:numPr>
        <w:tabs>
          <w:tab w:val="left" w:pos="360"/>
        </w:tabs>
        <w:ind w:left="709" w:hanging="283"/>
        <w:jc w:val="both"/>
        <w:rPr>
          <w:rFonts w:cs="Arial"/>
        </w:rPr>
      </w:pPr>
      <w:r>
        <w:rPr>
          <w:rFonts w:cs="Arial"/>
        </w:rPr>
        <w:t>University of the West of Scotland</w:t>
      </w:r>
      <w:r w:rsidR="00FE747C">
        <w:rPr>
          <w:rFonts w:cs="Arial"/>
        </w:rPr>
        <w:t>;</w:t>
      </w:r>
    </w:p>
    <w:p w:rsidR="003070DB" w:rsidRDefault="003070DB" w:rsidP="003070DB">
      <w:pPr>
        <w:pStyle w:val="ListParagraph"/>
        <w:numPr>
          <w:ilvl w:val="0"/>
          <w:numId w:val="45"/>
        </w:numPr>
        <w:tabs>
          <w:tab w:val="left" w:pos="360"/>
        </w:tabs>
        <w:ind w:left="709" w:hanging="283"/>
        <w:jc w:val="both"/>
        <w:rPr>
          <w:rFonts w:cs="Arial"/>
        </w:rPr>
      </w:pPr>
      <w:r>
        <w:rPr>
          <w:rFonts w:cs="Arial"/>
        </w:rPr>
        <w:t>Further Education Sector (New College Lanarkshire and South Lanarkshire College)</w:t>
      </w:r>
      <w:r w:rsidR="00FE747C">
        <w:rPr>
          <w:rFonts w:cs="Arial"/>
        </w:rPr>
        <w:t>;</w:t>
      </w:r>
    </w:p>
    <w:p w:rsidR="003070DB" w:rsidRDefault="003070DB" w:rsidP="003070DB">
      <w:pPr>
        <w:pStyle w:val="ListParagraph"/>
        <w:numPr>
          <w:ilvl w:val="0"/>
          <w:numId w:val="45"/>
        </w:numPr>
        <w:tabs>
          <w:tab w:val="left" w:pos="360"/>
        </w:tabs>
        <w:ind w:left="709" w:hanging="283"/>
        <w:jc w:val="both"/>
        <w:rPr>
          <w:rFonts w:cs="Arial"/>
        </w:rPr>
      </w:pPr>
      <w:r>
        <w:rPr>
          <w:rFonts w:cs="Arial"/>
        </w:rPr>
        <w:t>Federation of Small Businesses</w:t>
      </w:r>
      <w:r w:rsidR="00FE747C">
        <w:rPr>
          <w:rFonts w:cs="Arial"/>
        </w:rPr>
        <w:t>;</w:t>
      </w:r>
    </w:p>
    <w:p w:rsidR="003070DB" w:rsidRDefault="003070DB" w:rsidP="003070DB">
      <w:pPr>
        <w:pStyle w:val="ListParagraph"/>
        <w:numPr>
          <w:ilvl w:val="0"/>
          <w:numId w:val="45"/>
        </w:numPr>
        <w:tabs>
          <w:tab w:val="left" w:pos="360"/>
        </w:tabs>
        <w:ind w:left="709" w:hanging="283"/>
        <w:jc w:val="both"/>
        <w:rPr>
          <w:rFonts w:cs="Arial"/>
        </w:rPr>
      </w:pPr>
      <w:r>
        <w:rPr>
          <w:rFonts w:cs="Arial"/>
        </w:rPr>
        <w:t>Third Sector through Voluntary Action South Lanarkshire (VASLan)</w:t>
      </w:r>
      <w:r w:rsidR="00FE747C">
        <w:rPr>
          <w:rFonts w:cs="Arial"/>
        </w:rPr>
        <w:t>; and</w:t>
      </w:r>
    </w:p>
    <w:p w:rsidR="003070DB" w:rsidRPr="003070DB" w:rsidRDefault="003070DB" w:rsidP="003070DB">
      <w:pPr>
        <w:pStyle w:val="ListParagraph"/>
        <w:numPr>
          <w:ilvl w:val="0"/>
          <w:numId w:val="45"/>
        </w:numPr>
        <w:tabs>
          <w:tab w:val="left" w:pos="360"/>
        </w:tabs>
        <w:ind w:left="709" w:hanging="283"/>
        <w:jc w:val="both"/>
        <w:rPr>
          <w:rFonts w:cs="Arial"/>
        </w:rPr>
      </w:pPr>
      <w:r>
        <w:rPr>
          <w:rFonts w:cs="Arial"/>
        </w:rPr>
        <w:t>Chamber of Commerce</w:t>
      </w:r>
      <w:r w:rsidR="00FE747C">
        <w:rPr>
          <w:rFonts w:cs="Arial"/>
        </w:rPr>
        <w:t>.</w:t>
      </w:r>
    </w:p>
    <w:p w:rsidR="00385163" w:rsidRDefault="00385163" w:rsidP="00385163">
      <w:pPr>
        <w:tabs>
          <w:tab w:val="left" w:pos="360"/>
        </w:tabs>
        <w:ind w:left="360" w:hanging="360"/>
        <w:jc w:val="both"/>
        <w:rPr>
          <w:rFonts w:cs="Arial"/>
          <w:lang w:eastAsia="en-GB"/>
        </w:rPr>
      </w:pPr>
    </w:p>
    <w:p w:rsidR="00385163" w:rsidRPr="008C5E65" w:rsidRDefault="00385163" w:rsidP="00385163">
      <w:pPr>
        <w:tabs>
          <w:tab w:val="left" w:pos="360"/>
        </w:tabs>
        <w:jc w:val="both"/>
        <w:rPr>
          <w:rFonts w:cs="Arial"/>
          <w:lang w:eastAsia="en-GB"/>
        </w:rPr>
      </w:pPr>
      <w:r w:rsidRPr="008C5E65">
        <w:rPr>
          <w:rFonts w:cs="Arial"/>
          <w:lang w:eastAsia="en-GB"/>
        </w:rPr>
        <w:t xml:space="preserve">Its </w:t>
      </w:r>
      <w:r w:rsidR="003070DB">
        <w:rPr>
          <w:rFonts w:cs="Arial"/>
          <w:lang w:eastAsia="en-GB"/>
        </w:rPr>
        <w:t>v</w:t>
      </w:r>
      <w:r w:rsidRPr="008C5E65">
        <w:rPr>
          <w:rFonts w:cs="Arial"/>
          <w:lang w:eastAsia="en-GB"/>
        </w:rPr>
        <w:t>ision is that:</w:t>
      </w:r>
    </w:p>
    <w:p w:rsidR="00385163" w:rsidRPr="008C5E65" w:rsidRDefault="00385163" w:rsidP="00385163">
      <w:pPr>
        <w:tabs>
          <w:tab w:val="left" w:pos="360"/>
        </w:tabs>
        <w:jc w:val="both"/>
        <w:rPr>
          <w:rFonts w:cs="Arial"/>
          <w:lang w:eastAsia="en-GB"/>
        </w:rPr>
      </w:pPr>
    </w:p>
    <w:p w:rsidR="00385163" w:rsidRPr="008C5E65" w:rsidRDefault="00FB18C2" w:rsidP="003070DB">
      <w:pPr>
        <w:tabs>
          <w:tab w:val="left" w:pos="360"/>
        </w:tabs>
        <w:rPr>
          <w:rFonts w:cs="Arial"/>
          <w:b/>
        </w:rPr>
      </w:pPr>
      <w:r>
        <w:rPr>
          <w:rFonts w:cs="Arial"/>
          <w:b/>
        </w:rPr>
        <w:t>‘</w:t>
      </w:r>
      <w:r w:rsidR="00385163" w:rsidRPr="008C5E65">
        <w:rPr>
          <w:rFonts w:cs="Arial"/>
          <w:b/>
        </w:rPr>
        <w:t>South Lanarkshire has one of the strongest and most dynamic economies in Scotland, where business, communities and residents achieve their full potential and prosper</w:t>
      </w:r>
      <w:r>
        <w:rPr>
          <w:rFonts w:cs="Arial"/>
          <w:b/>
        </w:rPr>
        <w:t>’</w:t>
      </w:r>
      <w:r w:rsidR="00385163" w:rsidRPr="008C5E65">
        <w:rPr>
          <w:rFonts w:cs="Arial"/>
          <w:b/>
        </w:rPr>
        <w:t>.</w:t>
      </w:r>
    </w:p>
    <w:p w:rsidR="004900D1" w:rsidRDefault="004900D1" w:rsidP="00385163">
      <w:pPr>
        <w:autoSpaceDE w:val="0"/>
        <w:autoSpaceDN w:val="0"/>
        <w:adjustRightInd w:val="0"/>
        <w:rPr>
          <w:rFonts w:cs="Arial"/>
          <w:lang w:eastAsia="en-GB"/>
        </w:rPr>
      </w:pPr>
    </w:p>
    <w:p w:rsidR="00704605" w:rsidRPr="001B3311" w:rsidRDefault="00704605" w:rsidP="0049040A">
      <w:pPr>
        <w:pStyle w:val="ListParagraph"/>
        <w:numPr>
          <w:ilvl w:val="0"/>
          <w:numId w:val="47"/>
        </w:numPr>
        <w:ind w:left="426" w:hanging="426"/>
        <w:rPr>
          <w:rFonts w:cs="Arial"/>
          <w:b/>
        </w:rPr>
      </w:pPr>
      <w:r w:rsidRPr="001B3311">
        <w:rPr>
          <w:rFonts w:cs="Arial"/>
          <w:b/>
        </w:rPr>
        <w:t>Extent and Nature of Issues</w:t>
      </w:r>
    </w:p>
    <w:p w:rsidR="00385163" w:rsidRDefault="00385163" w:rsidP="000C2ED5">
      <w:pPr>
        <w:autoSpaceDE w:val="0"/>
        <w:autoSpaceDN w:val="0"/>
        <w:adjustRightInd w:val="0"/>
        <w:rPr>
          <w:rFonts w:cs="Arial"/>
          <w:lang w:eastAsia="en-GB"/>
        </w:rPr>
      </w:pPr>
      <w:r w:rsidRPr="008C5E65">
        <w:rPr>
          <w:rFonts w:cs="Arial"/>
          <w:b/>
          <w:lang w:eastAsia="en-GB"/>
        </w:rPr>
        <w:t>The Economic Strategy for South Lanarkshire</w:t>
      </w:r>
      <w:r>
        <w:rPr>
          <w:rFonts w:cs="Arial"/>
          <w:b/>
          <w:lang w:eastAsia="en-GB"/>
        </w:rPr>
        <w:t xml:space="preserve"> 2013-2020, </w:t>
      </w:r>
      <w:r w:rsidRPr="008C5E65">
        <w:rPr>
          <w:rFonts w:cs="Arial"/>
          <w:b/>
          <w:lang w:eastAsia="en-GB"/>
        </w:rPr>
        <w:t xml:space="preserve">‘Promote’ - </w:t>
      </w:r>
      <w:r w:rsidRPr="008C5E65">
        <w:rPr>
          <w:rFonts w:cs="Arial"/>
          <w:lang w:eastAsia="en-GB"/>
        </w:rPr>
        <w:t>was prod</w:t>
      </w:r>
      <w:r w:rsidR="0025084B">
        <w:rPr>
          <w:rFonts w:cs="Arial"/>
          <w:lang w:eastAsia="en-GB"/>
        </w:rPr>
        <w:t>uced in 2013 and informed by a Strategic N</w:t>
      </w:r>
      <w:r w:rsidRPr="008C5E65">
        <w:rPr>
          <w:rFonts w:cs="Arial"/>
          <w:lang w:eastAsia="en-GB"/>
        </w:rPr>
        <w:t xml:space="preserve">eeds </w:t>
      </w:r>
      <w:r w:rsidR="0025084B">
        <w:rPr>
          <w:rFonts w:cs="Arial"/>
          <w:lang w:eastAsia="en-GB"/>
        </w:rPr>
        <w:t>A</w:t>
      </w:r>
      <w:r w:rsidRPr="008C5E65">
        <w:rPr>
          <w:rFonts w:cs="Arial"/>
          <w:lang w:eastAsia="en-GB"/>
        </w:rPr>
        <w:t>ssessment process and significant consultation process.</w:t>
      </w:r>
      <w:r>
        <w:rPr>
          <w:rFonts w:cs="Arial"/>
          <w:lang w:eastAsia="en-GB"/>
        </w:rPr>
        <w:t xml:space="preserve"> </w:t>
      </w:r>
    </w:p>
    <w:p w:rsidR="00F66FA2" w:rsidRPr="008C5E65" w:rsidRDefault="00F66FA2" w:rsidP="00F66FA2">
      <w:pPr>
        <w:rPr>
          <w:rFonts w:cs="Arial"/>
          <w:lang w:eastAsia="en-GB"/>
        </w:rPr>
      </w:pPr>
      <w:r w:rsidRPr="008C5E65">
        <w:rPr>
          <w:rFonts w:cs="Arial"/>
          <w:lang w:eastAsia="en-GB"/>
        </w:rPr>
        <w:t>This involved an extensive consultation with the business community through a variety of means, including surveys and workshops for the partners and business sector across South Lanarkshire</w:t>
      </w:r>
      <w:r>
        <w:rPr>
          <w:rFonts w:cs="Arial"/>
          <w:lang w:eastAsia="en-GB"/>
        </w:rPr>
        <w:t>.</w:t>
      </w:r>
      <w:r w:rsidRPr="008C5E65">
        <w:rPr>
          <w:rFonts w:cs="Arial"/>
          <w:lang w:eastAsia="en-GB"/>
        </w:rPr>
        <w:t xml:space="preserve"> </w:t>
      </w:r>
    </w:p>
    <w:p w:rsidR="00C715D3" w:rsidRDefault="00F66FA2" w:rsidP="00F66FA2">
      <w:pPr>
        <w:rPr>
          <w:rFonts w:cs="Arial"/>
          <w:lang w:eastAsia="en-GB"/>
        </w:rPr>
      </w:pPr>
      <w:r w:rsidRPr="008C5E65">
        <w:rPr>
          <w:rFonts w:cs="Arial"/>
          <w:lang w:eastAsia="en-GB"/>
        </w:rPr>
        <w:t>Partnership workshops were held based on themes including Skills and Employability,</w:t>
      </w:r>
      <w:r w:rsidR="00C715D3">
        <w:rPr>
          <w:rFonts w:cs="Arial"/>
          <w:lang w:eastAsia="en-GB"/>
        </w:rPr>
        <w:t xml:space="preserve"> </w:t>
      </w:r>
      <w:r w:rsidRPr="008C5E65">
        <w:rPr>
          <w:rFonts w:cs="Arial"/>
          <w:lang w:eastAsia="en-GB"/>
        </w:rPr>
        <w:t>Supporting Business and Physical Infrastructure respectively.</w:t>
      </w:r>
      <w:r w:rsidR="000C2ED5">
        <w:rPr>
          <w:rFonts w:cs="Arial"/>
          <w:lang w:eastAsia="en-GB"/>
        </w:rPr>
        <w:t xml:space="preserve"> </w:t>
      </w:r>
      <w:r w:rsidR="00FE747C">
        <w:rPr>
          <w:rFonts w:cs="Arial"/>
          <w:lang w:eastAsia="en-GB"/>
        </w:rPr>
        <w:t xml:space="preserve"> </w:t>
      </w:r>
      <w:r w:rsidRPr="008C5E65">
        <w:rPr>
          <w:rFonts w:cs="Arial"/>
          <w:lang w:eastAsia="en-GB"/>
        </w:rPr>
        <w:t>It also included a large scale seminar with local business</w:t>
      </w:r>
      <w:r>
        <w:rPr>
          <w:rFonts w:cs="Arial"/>
          <w:lang w:eastAsia="en-GB"/>
        </w:rPr>
        <w:t>es</w:t>
      </w:r>
      <w:r w:rsidRPr="008C5E65">
        <w:rPr>
          <w:rFonts w:cs="Arial"/>
          <w:lang w:eastAsia="en-GB"/>
        </w:rPr>
        <w:t xml:space="preserve"> arranged through the Lanarkshire Chamber of Commerce and the Federation of Small Businesses.</w:t>
      </w:r>
      <w:r w:rsidR="00C715D3">
        <w:rPr>
          <w:rFonts w:cs="Arial"/>
          <w:lang w:eastAsia="en-GB"/>
        </w:rPr>
        <w:t xml:space="preserve"> </w:t>
      </w:r>
    </w:p>
    <w:p w:rsidR="003070DB" w:rsidRDefault="003070DB" w:rsidP="00F66FA2">
      <w:pPr>
        <w:rPr>
          <w:rFonts w:cs="Arial"/>
          <w:lang w:eastAsia="en-GB"/>
        </w:rPr>
      </w:pPr>
    </w:p>
    <w:p w:rsidR="00F66FA2" w:rsidRDefault="00F66FA2" w:rsidP="00F66FA2">
      <w:pPr>
        <w:rPr>
          <w:rFonts w:cs="Arial"/>
          <w:lang w:eastAsia="en-GB"/>
        </w:rPr>
      </w:pPr>
      <w:r w:rsidRPr="008C5E65">
        <w:rPr>
          <w:rFonts w:cs="Arial"/>
          <w:lang w:eastAsia="en-GB"/>
        </w:rPr>
        <w:t>An extensive survey of South Lanarkshire based business</w:t>
      </w:r>
      <w:r w:rsidR="004E0658">
        <w:rPr>
          <w:rFonts w:cs="Arial"/>
          <w:lang w:eastAsia="en-GB"/>
        </w:rPr>
        <w:t>es was undertaken on the draft s</w:t>
      </w:r>
      <w:r w:rsidRPr="008C5E65">
        <w:rPr>
          <w:rFonts w:cs="Arial"/>
          <w:lang w:eastAsia="en-GB"/>
        </w:rPr>
        <w:t xml:space="preserve">trategy and together with the comments and </w:t>
      </w:r>
      <w:r w:rsidR="003070DB">
        <w:rPr>
          <w:rFonts w:cs="Arial"/>
          <w:lang w:eastAsia="en-GB"/>
        </w:rPr>
        <w:t>responses from within the p</w:t>
      </w:r>
      <w:r w:rsidRPr="008C5E65">
        <w:rPr>
          <w:rFonts w:cs="Arial"/>
          <w:lang w:eastAsia="en-GB"/>
        </w:rPr>
        <w:t xml:space="preserve">artner organisations including </w:t>
      </w:r>
      <w:r w:rsidR="003070DB">
        <w:rPr>
          <w:rFonts w:cs="Arial"/>
          <w:lang w:eastAsia="en-GB"/>
        </w:rPr>
        <w:t>e</w:t>
      </w:r>
      <w:r w:rsidRPr="008C5E65">
        <w:rPr>
          <w:rFonts w:cs="Arial"/>
          <w:lang w:eastAsia="en-GB"/>
        </w:rPr>
        <w:t xml:space="preserve">lected </w:t>
      </w:r>
      <w:r w:rsidR="003070DB">
        <w:rPr>
          <w:rFonts w:cs="Arial"/>
          <w:lang w:eastAsia="en-GB"/>
        </w:rPr>
        <w:t>m</w:t>
      </w:r>
      <w:r w:rsidRPr="008C5E65">
        <w:rPr>
          <w:rFonts w:cs="Arial"/>
          <w:lang w:eastAsia="en-GB"/>
        </w:rPr>
        <w:t xml:space="preserve">embers, </w:t>
      </w:r>
      <w:r w:rsidR="003070DB">
        <w:rPr>
          <w:rFonts w:cs="Arial"/>
          <w:lang w:eastAsia="en-GB"/>
        </w:rPr>
        <w:t>refinements were made with the s</w:t>
      </w:r>
      <w:r w:rsidRPr="008C5E65">
        <w:rPr>
          <w:rFonts w:cs="Arial"/>
          <w:lang w:eastAsia="en-GB"/>
        </w:rPr>
        <w:t>trategy being approved by the Partnership in 2014.</w:t>
      </w:r>
    </w:p>
    <w:p w:rsidR="003070DB" w:rsidRPr="008C5E65" w:rsidRDefault="003070DB" w:rsidP="00F66FA2">
      <w:pPr>
        <w:rPr>
          <w:rFonts w:cs="Arial"/>
          <w:lang w:eastAsia="en-GB"/>
        </w:rPr>
      </w:pPr>
    </w:p>
    <w:p w:rsidR="00A9524C" w:rsidRDefault="00F66FA2" w:rsidP="00A9524C">
      <w:pPr>
        <w:rPr>
          <w:rFonts w:cs="Arial"/>
        </w:rPr>
      </w:pPr>
      <w:r>
        <w:rPr>
          <w:rFonts w:cs="Arial"/>
        </w:rPr>
        <w:t>Further community engagement will take place, in particular within our Neighbourhood Planning pilot areas.</w:t>
      </w:r>
      <w:r w:rsidR="00C715D3">
        <w:rPr>
          <w:rFonts w:cs="Arial"/>
        </w:rPr>
        <w:t xml:space="preserve"> </w:t>
      </w:r>
      <w:r>
        <w:rPr>
          <w:rFonts w:cs="Arial"/>
        </w:rPr>
        <w:t xml:space="preserve"> We are committed to working with </w:t>
      </w:r>
      <w:r w:rsidR="00EE5CAF">
        <w:rPr>
          <w:rFonts w:cs="Arial"/>
        </w:rPr>
        <w:t xml:space="preserve">these </w:t>
      </w:r>
      <w:r>
        <w:rPr>
          <w:rFonts w:cs="Arial"/>
        </w:rPr>
        <w:t>communities to shape and wherever appropriate co</w:t>
      </w:r>
      <w:r w:rsidR="00384B09">
        <w:rPr>
          <w:rFonts w:cs="Arial"/>
        </w:rPr>
        <w:t>-</w:t>
      </w:r>
      <w:r>
        <w:rPr>
          <w:rFonts w:cs="Arial"/>
        </w:rPr>
        <w:t xml:space="preserve">deliver services and supports that will </w:t>
      </w:r>
      <w:r w:rsidR="00385163">
        <w:rPr>
          <w:rFonts w:cs="Arial"/>
        </w:rPr>
        <w:t>improve local outcomes.</w:t>
      </w:r>
      <w:r w:rsidR="00C715D3">
        <w:rPr>
          <w:rFonts w:cs="Arial"/>
        </w:rPr>
        <w:t xml:space="preserve"> </w:t>
      </w:r>
      <w:r w:rsidR="00385163">
        <w:rPr>
          <w:rFonts w:cs="Arial"/>
        </w:rPr>
        <w:t xml:space="preserve"> This will include testing new local approaches to helping people towards, into and within work, making the best use of resources available within these communities.</w:t>
      </w:r>
    </w:p>
    <w:p w:rsidR="00385163" w:rsidRDefault="00385163" w:rsidP="00A9524C">
      <w:pPr>
        <w:rPr>
          <w:rFonts w:cs="Arial"/>
        </w:rPr>
      </w:pPr>
    </w:p>
    <w:p w:rsidR="00040C4A" w:rsidRDefault="00040C4A" w:rsidP="00385163">
      <w:pPr>
        <w:autoSpaceDE w:val="0"/>
        <w:autoSpaceDN w:val="0"/>
        <w:adjustRightInd w:val="0"/>
        <w:rPr>
          <w:rFonts w:cs="Arial"/>
          <w:lang w:eastAsia="en-GB"/>
        </w:rPr>
      </w:pPr>
      <w:r>
        <w:rPr>
          <w:rFonts w:cs="Arial"/>
          <w:lang w:eastAsia="en-GB"/>
        </w:rPr>
        <w:t xml:space="preserve">Key issues emerging and reflected in our </w:t>
      </w:r>
      <w:r w:rsidR="003070DB">
        <w:rPr>
          <w:rFonts w:cs="Arial"/>
          <w:lang w:eastAsia="en-GB"/>
        </w:rPr>
        <w:t>Plan include:</w:t>
      </w:r>
    </w:p>
    <w:p w:rsidR="00040C4A" w:rsidRDefault="00040C4A" w:rsidP="00385163">
      <w:pPr>
        <w:autoSpaceDE w:val="0"/>
        <w:autoSpaceDN w:val="0"/>
        <w:adjustRightInd w:val="0"/>
        <w:rPr>
          <w:rFonts w:cs="Arial"/>
          <w:lang w:eastAsia="en-GB"/>
        </w:rPr>
      </w:pPr>
    </w:p>
    <w:p w:rsidR="00040C4A" w:rsidRPr="00040C4A" w:rsidRDefault="00040C4A" w:rsidP="003070DB">
      <w:pPr>
        <w:pStyle w:val="ListParagraph"/>
        <w:numPr>
          <w:ilvl w:val="0"/>
          <w:numId w:val="37"/>
        </w:numPr>
        <w:tabs>
          <w:tab w:val="left" w:pos="1134"/>
        </w:tabs>
        <w:autoSpaceDE w:val="0"/>
        <w:autoSpaceDN w:val="0"/>
        <w:adjustRightInd w:val="0"/>
        <w:rPr>
          <w:rFonts w:cs="Arial"/>
          <w:lang w:eastAsia="en-GB"/>
        </w:rPr>
      </w:pPr>
      <w:r w:rsidRPr="00040C4A">
        <w:rPr>
          <w:rFonts w:cs="Arial"/>
          <w:lang w:eastAsia="en-GB"/>
        </w:rPr>
        <w:t>Significant inequalities in relation to employment and income deprivation between our most</w:t>
      </w:r>
      <w:r w:rsidR="007A4770">
        <w:rPr>
          <w:rFonts w:cs="Arial"/>
          <w:lang w:eastAsia="en-GB"/>
        </w:rPr>
        <w:t xml:space="preserve"> and least deprived communities</w:t>
      </w:r>
      <w:r w:rsidR="00FE747C">
        <w:rPr>
          <w:rFonts w:cs="Arial"/>
          <w:lang w:eastAsia="en-GB"/>
        </w:rPr>
        <w:t>;</w:t>
      </w:r>
    </w:p>
    <w:p w:rsidR="00040C4A" w:rsidRPr="00040C4A" w:rsidRDefault="00040C4A" w:rsidP="00D0795E">
      <w:pPr>
        <w:pStyle w:val="ListParagraph"/>
        <w:numPr>
          <w:ilvl w:val="0"/>
          <w:numId w:val="37"/>
        </w:numPr>
        <w:autoSpaceDE w:val="0"/>
        <w:autoSpaceDN w:val="0"/>
        <w:adjustRightInd w:val="0"/>
        <w:rPr>
          <w:rFonts w:cs="Arial"/>
          <w:lang w:eastAsia="en-GB"/>
        </w:rPr>
      </w:pPr>
      <w:r w:rsidRPr="00040C4A">
        <w:rPr>
          <w:rFonts w:cs="Arial"/>
          <w:lang w:eastAsia="en-GB"/>
        </w:rPr>
        <w:t>Poorer educational and employment outcomes for vulnerable young people.</w:t>
      </w:r>
      <w:r w:rsidR="00C715D3">
        <w:rPr>
          <w:rFonts w:cs="Arial"/>
          <w:lang w:eastAsia="en-GB"/>
        </w:rPr>
        <w:t xml:space="preserve"> </w:t>
      </w:r>
      <w:r w:rsidRPr="00040C4A">
        <w:rPr>
          <w:rFonts w:cs="Arial"/>
          <w:lang w:eastAsia="en-GB"/>
        </w:rPr>
        <w:t xml:space="preserve"> Including </w:t>
      </w:r>
      <w:r w:rsidR="007A4770">
        <w:rPr>
          <w:rFonts w:cs="Arial"/>
          <w:lang w:eastAsia="en-GB"/>
        </w:rPr>
        <w:t>young people in or leaving care</w:t>
      </w:r>
      <w:r w:rsidR="00FE747C">
        <w:rPr>
          <w:rFonts w:cs="Arial"/>
          <w:lang w:eastAsia="en-GB"/>
        </w:rPr>
        <w:t>;</w:t>
      </w:r>
    </w:p>
    <w:p w:rsidR="00040C4A" w:rsidRPr="00040C4A" w:rsidRDefault="00040C4A" w:rsidP="00D0795E">
      <w:pPr>
        <w:pStyle w:val="ListParagraph"/>
        <w:numPr>
          <w:ilvl w:val="0"/>
          <w:numId w:val="37"/>
        </w:numPr>
        <w:autoSpaceDE w:val="0"/>
        <w:autoSpaceDN w:val="0"/>
        <w:adjustRightInd w:val="0"/>
        <w:rPr>
          <w:rFonts w:cs="Arial"/>
          <w:lang w:eastAsia="en-GB"/>
        </w:rPr>
      </w:pPr>
      <w:r w:rsidRPr="00040C4A">
        <w:rPr>
          <w:rFonts w:cs="Arial"/>
          <w:lang w:eastAsia="en-GB"/>
        </w:rPr>
        <w:t>R</w:t>
      </w:r>
      <w:r w:rsidR="0025084B">
        <w:rPr>
          <w:rFonts w:cs="Arial"/>
          <w:lang w:eastAsia="en-GB"/>
        </w:rPr>
        <w:t>ising levels of in-</w:t>
      </w:r>
      <w:r w:rsidR="007A4770">
        <w:rPr>
          <w:rFonts w:cs="Arial"/>
          <w:lang w:eastAsia="en-GB"/>
        </w:rPr>
        <w:t>work poverty</w:t>
      </w:r>
      <w:r w:rsidR="00FE747C">
        <w:rPr>
          <w:rFonts w:cs="Arial"/>
          <w:lang w:eastAsia="en-GB"/>
        </w:rPr>
        <w:t>;</w:t>
      </w:r>
    </w:p>
    <w:p w:rsidR="00040C4A" w:rsidRDefault="00040C4A" w:rsidP="00D0795E">
      <w:pPr>
        <w:pStyle w:val="ListParagraph"/>
        <w:numPr>
          <w:ilvl w:val="0"/>
          <w:numId w:val="37"/>
        </w:numPr>
        <w:autoSpaceDE w:val="0"/>
        <w:autoSpaceDN w:val="0"/>
        <w:adjustRightInd w:val="0"/>
        <w:rPr>
          <w:rFonts w:cs="Arial"/>
          <w:lang w:eastAsia="en-GB"/>
        </w:rPr>
      </w:pPr>
      <w:r w:rsidRPr="00040C4A">
        <w:rPr>
          <w:rFonts w:cs="Arial"/>
          <w:lang w:eastAsia="en-GB"/>
        </w:rPr>
        <w:t>Business survival rate increasing but</w:t>
      </w:r>
      <w:r w:rsidR="00FE747C">
        <w:rPr>
          <w:rFonts w:cs="Arial"/>
          <w:lang w:eastAsia="en-GB"/>
        </w:rPr>
        <w:t xml:space="preserve"> still below the Scottish Level; and</w:t>
      </w:r>
    </w:p>
    <w:p w:rsidR="00040C4A" w:rsidRDefault="00040C4A" w:rsidP="00D0795E">
      <w:pPr>
        <w:pStyle w:val="ListParagraph"/>
        <w:numPr>
          <w:ilvl w:val="0"/>
          <w:numId w:val="37"/>
        </w:numPr>
        <w:autoSpaceDE w:val="0"/>
        <w:autoSpaceDN w:val="0"/>
        <w:adjustRightInd w:val="0"/>
        <w:rPr>
          <w:rFonts w:cs="Arial"/>
          <w:lang w:eastAsia="en-GB"/>
        </w:rPr>
      </w:pPr>
      <w:r>
        <w:rPr>
          <w:rFonts w:cs="Arial"/>
          <w:lang w:eastAsia="en-GB"/>
        </w:rPr>
        <w:t>Falling shares of Business Research and Development spend.</w:t>
      </w:r>
    </w:p>
    <w:p w:rsidR="00C715D3" w:rsidRDefault="00C715D3" w:rsidP="00D0795E">
      <w:pPr>
        <w:pStyle w:val="ListParagraph"/>
        <w:rPr>
          <w:rFonts w:cs="Arial"/>
          <w:lang w:eastAsia="en-GB"/>
        </w:rPr>
      </w:pPr>
    </w:p>
    <w:p w:rsidR="00A9524C" w:rsidRPr="001B3311" w:rsidRDefault="00A9524C" w:rsidP="0049040A">
      <w:pPr>
        <w:pStyle w:val="ListParagraph"/>
        <w:numPr>
          <w:ilvl w:val="0"/>
          <w:numId w:val="47"/>
        </w:numPr>
        <w:tabs>
          <w:tab w:val="left" w:pos="426"/>
        </w:tabs>
        <w:ind w:left="426" w:hanging="426"/>
        <w:rPr>
          <w:rFonts w:cs="Arial"/>
          <w:b/>
        </w:rPr>
      </w:pPr>
      <w:r w:rsidRPr="001B3311">
        <w:rPr>
          <w:rFonts w:cs="Arial"/>
          <w:b/>
        </w:rPr>
        <w:t>Priorities</w:t>
      </w:r>
    </w:p>
    <w:p w:rsidR="00D0795E" w:rsidRPr="008C5E65" w:rsidRDefault="00D0795E" w:rsidP="00D0795E">
      <w:pPr>
        <w:autoSpaceDE w:val="0"/>
        <w:autoSpaceDN w:val="0"/>
        <w:adjustRightInd w:val="0"/>
        <w:rPr>
          <w:rFonts w:cs="Arial"/>
          <w:lang w:eastAsia="en-GB"/>
        </w:rPr>
      </w:pPr>
      <w:r w:rsidRPr="008C5E65">
        <w:rPr>
          <w:rFonts w:cs="Arial"/>
          <w:lang w:eastAsia="en-GB"/>
        </w:rPr>
        <w:t xml:space="preserve">The </w:t>
      </w:r>
      <w:r w:rsidR="005353DC">
        <w:rPr>
          <w:rFonts w:cs="Arial"/>
          <w:lang w:eastAsia="en-GB"/>
        </w:rPr>
        <w:t>s</w:t>
      </w:r>
      <w:r w:rsidRPr="008C5E65">
        <w:rPr>
          <w:rFonts w:cs="Arial"/>
          <w:lang w:eastAsia="en-GB"/>
        </w:rPr>
        <w:t>trategy is organised around 3 key development themes:</w:t>
      </w:r>
      <w:r>
        <w:rPr>
          <w:rFonts w:cs="Arial"/>
          <w:lang w:eastAsia="en-GB"/>
        </w:rPr>
        <w:br/>
      </w:r>
    </w:p>
    <w:p w:rsidR="00D0795E" w:rsidRPr="008C5E65" w:rsidRDefault="005353DC" w:rsidP="00D0795E">
      <w:pPr>
        <w:pStyle w:val="ListParagraph"/>
        <w:numPr>
          <w:ilvl w:val="0"/>
          <w:numId w:val="24"/>
        </w:numPr>
        <w:autoSpaceDE w:val="0"/>
        <w:autoSpaceDN w:val="0"/>
        <w:adjustRightInd w:val="0"/>
        <w:rPr>
          <w:rFonts w:cs="Arial"/>
          <w:lang w:eastAsia="en-GB"/>
        </w:rPr>
      </w:pPr>
      <w:r>
        <w:rPr>
          <w:rFonts w:cs="Arial"/>
          <w:lang w:eastAsia="en-GB"/>
        </w:rPr>
        <w:t>Business Development and Growth</w:t>
      </w:r>
      <w:r w:rsidR="00FE747C">
        <w:rPr>
          <w:rFonts w:cs="Arial"/>
          <w:lang w:eastAsia="en-GB"/>
        </w:rPr>
        <w:t>;</w:t>
      </w:r>
    </w:p>
    <w:p w:rsidR="00D0795E" w:rsidRPr="008C5E65" w:rsidRDefault="00D0795E" w:rsidP="00D0795E">
      <w:pPr>
        <w:pStyle w:val="ListParagraph"/>
        <w:numPr>
          <w:ilvl w:val="0"/>
          <w:numId w:val="24"/>
        </w:numPr>
        <w:autoSpaceDE w:val="0"/>
        <w:autoSpaceDN w:val="0"/>
        <w:adjustRightInd w:val="0"/>
        <w:rPr>
          <w:rFonts w:cs="Arial"/>
          <w:lang w:eastAsia="en-GB"/>
        </w:rPr>
      </w:pPr>
      <w:r w:rsidRPr="008C5E65">
        <w:rPr>
          <w:rFonts w:cs="Arial"/>
          <w:lang w:eastAsia="en-GB"/>
        </w:rPr>
        <w:t>Ph</w:t>
      </w:r>
      <w:r w:rsidR="0025084B">
        <w:rPr>
          <w:rFonts w:cs="Arial"/>
          <w:lang w:eastAsia="en-GB"/>
        </w:rPr>
        <w:t>ysical I</w:t>
      </w:r>
      <w:r w:rsidR="005353DC">
        <w:rPr>
          <w:rFonts w:cs="Arial"/>
          <w:lang w:eastAsia="en-GB"/>
        </w:rPr>
        <w:t xml:space="preserve">nfrastructure and </w:t>
      </w:r>
      <w:r w:rsidR="0025084B">
        <w:rPr>
          <w:rFonts w:cs="Arial"/>
          <w:lang w:eastAsia="en-GB"/>
        </w:rPr>
        <w:t>P</w:t>
      </w:r>
      <w:r w:rsidR="005353DC">
        <w:rPr>
          <w:rFonts w:cs="Arial"/>
          <w:lang w:eastAsia="en-GB"/>
        </w:rPr>
        <w:t>lace</w:t>
      </w:r>
      <w:r w:rsidR="00FE747C">
        <w:rPr>
          <w:rFonts w:cs="Arial"/>
          <w:lang w:eastAsia="en-GB"/>
        </w:rPr>
        <w:t>; and</w:t>
      </w:r>
    </w:p>
    <w:p w:rsidR="00D0795E" w:rsidRPr="008C5E65" w:rsidRDefault="0025084B" w:rsidP="00D0795E">
      <w:pPr>
        <w:pStyle w:val="ListParagraph"/>
        <w:numPr>
          <w:ilvl w:val="0"/>
          <w:numId w:val="24"/>
        </w:numPr>
        <w:autoSpaceDE w:val="0"/>
        <w:autoSpaceDN w:val="0"/>
        <w:adjustRightInd w:val="0"/>
        <w:rPr>
          <w:rFonts w:cs="Arial"/>
          <w:lang w:eastAsia="en-GB"/>
        </w:rPr>
      </w:pPr>
      <w:r>
        <w:rPr>
          <w:rFonts w:cs="Arial"/>
          <w:lang w:eastAsia="en-GB"/>
        </w:rPr>
        <w:t>Skills, L</w:t>
      </w:r>
      <w:r w:rsidR="00D0795E" w:rsidRPr="008C5E65">
        <w:rPr>
          <w:rFonts w:cs="Arial"/>
          <w:lang w:eastAsia="en-GB"/>
        </w:rPr>
        <w:t xml:space="preserve">earning and </w:t>
      </w:r>
      <w:r>
        <w:rPr>
          <w:rFonts w:cs="Arial"/>
          <w:lang w:eastAsia="en-GB"/>
        </w:rPr>
        <w:t>E</w:t>
      </w:r>
      <w:bookmarkStart w:id="0" w:name="_GoBack"/>
      <w:bookmarkEnd w:id="0"/>
      <w:r w:rsidR="00D0795E" w:rsidRPr="008C5E65">
        <w:rPr>
          <w:rFonts w:cs="Arial"/>
          <w:lang w:eastAsia="en-GB"/>
        </w:rPr>
        <w:t>mployability.</w:t>
      </w:r>
    </w:p>
    <w:p w:rsidR="00A9524C" w:rsidRDefault="00A9524C" w:rsidP="00A9524C">
      <w:pPr>
        <w:rPr>
          <w:rFonts w:cs="Arial"/>
          <w:b/>
        </w:rPr>
      </w:pPr>
    </w:p>
    <w:p w:rsidR="00A9524C" w:rsidRPr="001E49DC" w:rsidRDefault="00A9524C" w:rsidP="005353DC">
      <w:pPr>
        <w:tabs>
          <w:tab w:val="left" w:pos="284"/>
          <w:tab w:val="left" w:pos="426"/>
        </w:tabs>
        <w:rPr>
          <w:rFonts w:cs="Arial"/>
          <w:b/>
        </w:rPr>
      </w:pPr>
      <w:r w:rsidRPr="001E49DC">
        <w:rPr>
          <w:rFonts w:cs="Arial"/>
          <w:b/>
        </w:rPr>
        <w:t>5</w:t>
      </w:r>
      <w:r w:rsidR="005353DC">
        <w:rPr>
          <w:rFonts w:cs="Arial"/>
          <w:b/>
        </w:rPr>
        <w:t xml:space="preserve">. </w:t>
      </w:r>
      <w:r w:rsidR="005353DC">
        <w:rPr>
          <w:rFonts w:cs="Arial"/>
          <w:b/>
        </w:rPr>
        <w:tab/>
      </w:r>
      <w:r w:rsidR="005353DC">
        <w:rPr>
          <w:rFonts w:cs="Arial"/>
          <w:b/>
        </w:rPr>
        <w:tab/>
      </w:r>
      <w:r w:rsidRPr="001E49DC">
        <w:rPr>
          <w:rFonts w:cs="Arial"/>
          <w:b/>
        </w:rPr>
        <w:t xml:space="preserve">Partnership Outcomes </w:t>
      </w:r>
    </w:p>
    <w:p w:rsidR="00D0795E" w:rsidRDefault="00D0795E" w:rsidP="00D0795E">
      <w:pPr>
        <w:autoSpaceDE w:val="0"/>
        <w:autoSpaceDN w:val="0"/>
        <w:adjustRightInd w:val="0"/>
        <w:rPr>
          <w:rFonts w:cs="Arial"/>
        </w:rPr>
      </w:pPr>
      <w:r w:rsidRPr="008C5E65">
        <w:rPr>
          <w:rFonts w:cs="Arial"/>
          <w:lang w:eastAsia="en-GB"/>
        </w:rPr>
        <w:t xml:space="preserve">The Sustainable Economic Growth Strategic Board has assessed the key priorities within these themes and agreed to focus on a </w:t>
      </w:r>
      <w:r w:rsidRPr="008C5E65">
        <w:rPr>
          <w:rFonts w:cs="Arial"/>
        </w:rPr>
        <w:t>small number of significant priority outcomes that reflect new, significant and partnership based activity.</w:t>
      </w:r>
    </w:p>
    <w:p w:rsidR="005353DC" w:rsidRPr="008C5E65" w:rsidRDefault="005353DC" w:rsidP="00D0795E">
      <w:pPr>
        <w:autoSpaceDE w:val="0"/>
        <w:autoSpaceDN w:val="0"/>
        <w:adjustRightInd w:val="0"/>
        <w:rPr>
          <w:rFonts w:cs="Arial"/>
        </w:rPr>
      </w:pPr>
    </w:p>
    <w:p w:rsidR="00D0795E" w:rsidRDefault="00D0795E" w:rsidP="00D0795E">
      <w:pPr>
        <w:autoSpaceDE w:val="0"/>
        <w:autoSpaceDN w:val="0"/>
        <w:adjustRightInd w:val="0"/>
        <w:rPr>
          <w:rFonts w:cs="Arial"/>
          <w:lang w:eastAsia="en-GB"/>
        </w:rPr>
      </w:pPr>
      <w:r w:rsidRPr="008C5E65">
        <w:rPr>
          <w:rFonts w:cs="Arial"/>
          <w:lang w:eastAsia="en-GB"/>
        </w:rPr>
        <w:t>While the Strategic Board will continue to monitor all of the relevant themes and priorities within the Economic Strategy, there is a clear agreement that future action should focus on these outcomes and have a strong transformational emphasis.</w:t>
      </w:r>
    </w:p>
    <w:p w:rsidR="00FB0A3F" w:rsidRDefault="00FB0A3F" w:rsidP="00D0795E">
      <w:pPr>
        <w:autoSpaceDE w:val="0"/>
        <w:autoSpaceDN w:val="0"/>
        <w:adjustRightInd w:val="0"/>
        <w:rPr>
          <w:rFonts w:cs="Arial"/>
          <w:lang w:eastAsia="en-GB"/>
        </w:rPr>
      </w:pPr>
    </w:p>
    <w:p w:rsidR="00FB0A3F" w:rsidRDefault="00FB0A3F" w:rsidP="00FB0A3F">
      <w:pPr>
        <w:pStyle w:val="ListParagraph"/>
        <w:numPr>
          <w:ilvl w:val="0"/>
          <w:numId w:val="39"/>
        </w:numPr>
        <w:autoSpaceDE w:val="0"/>
        <w:autoSpaceDN w:val="0"/>
        <w:adjustRightInd w:val="0"/>
        <w:contextualSpacing w:val="0"/>
        <w:rPr>
          <w:rFonts w:cs="Arial"/>
          <w:lang w:eastAsia="en-GB"/>
        </w:rPr>
      </w:pPr>
      <w:r w:rsidRPr="008C5E65">
        <w:rPr>
          <w:rFonts w:cs="Arial"/>
        </w:rPr>
        <w:t>A Supportive Business Environment exists in South Lanarkshire</w:t>
      </w:r>
      <w:r w:rsidR="00FE747C">
        <w:rPr>
          <w:rFonts w:cs="Arial"/>
        </w:rPr>
        <w:t>;</w:t>
      </w:r>
    </w:p>
    <w:p w:rsidR="00FB0A3F" w:rsidRDefault="00FB0A3F" w:rsidP="00FB0A3F">
      <w:pPr>
        <w:pStyle w:val="ListParagraph"/>
        <w:numPr>
          <w:ilvl w:val="0"/>
          <w:numId w:val="39"/>
        </w:numPr>
        <w:contextualSpacing w:val="0"/>
        <w:rPr>
          <w:rFonts w:cs="Arial"/>
        </w:rPr>
      </w:pPr>
      <w:r w:rsidRPr="008C5E65">
        <w:rPr>
          <w:rFonts w:cs="Arial"/>
        </w:rPr>
        <w:t>Employment and further education opportunities are maximised for South L</w:t>
      </w:r>
      <w:r>
        <w:rPr>
          <w:rFonts w:cs="Arial"/>
        </w:rPr>
        <w:t>a</w:t>
      </w:r>
      <w:r w:rsidR="005353DC">
        <w:rPr>
          <w:rFonts w:cs="Arial"/>
        </w:rPr>
        <w:t>narkshire’s young people</w:t>
      </w:r>
      <w:r w:rsidR="00FE747C">
        <w:rPr>
          <w:rFonts w:cs="Arial"/>
        </w:rPr>
        <w:t>; and</w:t>
      </w:r>
    </w:p>
    <w:p w:rsidR="00FB0A3F" w:rsidRPr="00307DAD" w:rsidRDefault="00FB0A3F" w:rsidP="00FB0A3F">
      <w:pPr>
        <w:pStyle w:val="ListParagraph"/>
        <w:numPr>
          <w:ilvl w:val="0"/>
          <w:numId w:val="39"/>
        </w:numPr>
        <w:rPr>
          <w:rFonts w:cs="Arial"/>
        </w:rPr>
      </w:pPr>
      <w:r w:rsidRPr="00307DAD">
        <w:rPr>
          <w:rFonts w:cs="Arial"/>
        </w:rPr>
        <w:t>Residents at greatest risk of living in poverty, whether in or out of work receive the support they need to progress into work that pays and provides opportunities for progression.</w:t>
      </w:r>
    </w:p>
    <w:p w:rsidR="00FB0A3F" w:rsidRPr="008C5E65" w:rsidRDefault="00FB0A3F" w:rsidP="00FB0A3F">
      <w:pPr>
        <w:pStyle w:val="ListParagraph"/>
        <w:autoSpaceDE w:val="0"/>
        <w:autoSpaceDN w:val="0"/>
        <w:adjustRightInd w:val="0"/>
        <w:rPr>
          <w:rFonts w:cs="Arial"/>
          <w:lang w:eastAsia="en-GB"/>
        </w:rPr>
      </w:pPr>
    </w:p>
    <w:p w:rsidR="00FB0A3F" w:rsidRPr="00FB0A3F" w:rsidRDefault="00FB0A3F" w:rsidP="00FB0A3F">
      <w:pPr>
        <w:pStyle w:val="ListParagraph"/>
        <w:autoSpaceDE w:val="0"/>
        <w:autoSpaceDN w:val="0"/>
        <w:adjustRightInd w:val="0"/>
        <w:rPr>
          <w:rFonts w:cs="Arial"/>
          <w:lang w:eastAsia="en-GB"/>
        </w:rPr>
      </w:pPr>
    </w:p>
    <w:p w:rsidR="00D0795E" w:rsidRPr="008C5E65" w:rsidRDefault="00D0795E" w:rsidP="00D0795E">
      <w:pPr>
        <w:autoSpaceDE w:val="0"/>
        <w:autoSpaceDN w:val="0"/>
        <w:adjustRightInd w:val="0"/>
        <w:rPr>
          <w:rFonts w:cs="Arial"/>
          <w:lang w:eastAsia="en-GB"/>
        </w:rPr>
      </w:pPr>
    </w:p>
    <w:p w:rsidR="00D0795E" w:rsidRDefault="00D0795E" w:rsidP="00A9524C">
      <w:pPr>
        <w:rPr>
          <w:rFonts w:cs="Arial"/>
        </w:rPr>
      </w:pPr>
    </w:p>
    <w:p w:rsidR="000D62D4" w:rsidRPr="000D62D4" w:rsidRDefault="000D62D4" w:rsidP="000D62D4">
      <w:pPr>
        <w:rPr>
          <w:rFonts w:cs="Arial"/>
        </w:rPr>
      </w:pPr>
    </w:p>
    <w:p w:rsidR="000D62D4" w:rsidRPr="000D62D4" w:rsidRDefault="000D62D4" w:rsidP="000D62D4">
      <w:pPr>
        <w:rPr>
          <w:rFonts w:cs="Arial"/>
        </w:rPr>
      </w:pPr>
    </w:p>
    <w:p w:rsidR="000D62D4" w:rsidRPr="000D62D4" w:rsidRDefault="000D62D4" w:rsidP="000D62D4">
      <w:pPr>
        <w:rPr>
          <w:rFonts w:cs="Arial"/>
        </w:rPr>
      </w:pPr>
    </w:p>
    <w:p w:rsidR="000D62D4" w:rsidRPr="000D62D4" w:rsidRDefault="000D62D4" w:rsidP="000D62D4">
      <w:pPr>
        <w:rPr>
          <w:rFonts w:cs="Arial"/>
        </w:rPr>
      </w:pPr>
    </w:p>
    <w:p w:rsidR="000D62D4" w:rsidRPr="000D62D4" w:rsidRDefault="000D62D4" w:rsidP="000D62D4">
      <w:pPr>
        <w:rPr>
          <w:rFonts w:cs="Arial"/>
        </w:rPr>
      </w:pPr>
    </w:p>
    <w:p w:rsidR="000D62D4" w:rsidRDefault="000D62D4" w:rsidP="000D62D4">
      <w:pPr>
        <w:rPr>
          <w:rFonts w:cs="Arial"/>
        </w:rPr>
      </w:pPr>
    </w:p>
    <w:p w:rsidR="000D62D4" w:rsidRPr="000D62D4" w:rsidRDefault="000D62D4" w:rsidP="000D62D4">
      <w:pPr>
        <w:rPr>
          <w:rFonts w:cs="Arial"/>
        </w:rPr>
      </w:pPr>
    </w:p>
    <w:p w:rsidR="00A9524C" w:rsidRPr="000D62D4" w:rsidRDefault="00A9524C" w:rsidP="000D62D4">
      <w:pPr>
        <w:rPr>
          <w:rFonts w:cs="Arial"/>
        </w:rPr>
        <w:sectPr w:rsidR="00A9524C" w:rsidRPr="000D62D4" w:rsidSect="00BE7134">
          <w:headerReference w:type="even" r:id="rId9"/>
          <w:headerReference w:type="default" r:id="rId10"/>
          <w:footerReference w:type="even" r:id="rId11"/>
          <w:footerReference w:type="default" r:id="rId12"/>
          <w:headerReference w:type="first" r:id="rId13"/>
          <w:footerReference w:type="first" r:id="rId14"/>
          <w:pgSz w:w="11906" w:h="16838"/>
          <w:pgMar w:top="567" w:right="1077" w:bottom="720" w:left="1077" w:header="709" w:footer="273" w:gutter="0"/>
          <w:cols w:space="720"/>
          <w:formProt w:val="0"/>
          <w:docGrid w:linePitch="326"/>
        </w:sect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1E0" w:firstRow="1" w:lastRow="1" w:firstColumn="1" w:lastColumn="1" w:noHBand="0" w:noVBand="0"/>
      </w:tblPr>
      <w:tblGrid>
        <w:gridCol w:w="14425"/>
      </w:tblGrid>
      <w:tr w:rsidR="00A570DF" w:rsidRPr="001338F3" w:rsidTr="00521C50">
        <w:trPr>
          <w:trHeight w:val="384"/>
        </w:trPr>
        <w:tc>
          <w:tcPr>
            <w:tcW w:w="14425" w:type="dxa"/>
            <w:tcBorders>
              <w:top w:val="nil"/>
              <w:left w:val="nil"/>
              <w:bottom w:val="nil"/>
              <w:right w:val="nil"/>
            </w:tcBorders>
            <w:shd w:val="clear" w:color="auto" w:fill="auto"/>
          </w:tcPr>
          <w:p w:rsidR="00A570DF" w:rsidRPr="001338F3" w:rsidRDefault="00A570DF" w:rsidP="00EF3B87">
            <w:pPr>
              <w:pStyle w:val="ListBullet"/>
              <w:numPr>
                <w:ilvl w:val="0"/>
                <w:numId w:val="0"/>
              </w:numPr>
              <w:tabs>
                <w:tab w:val="left" w:pos="720"/>
              </w:tabs>
              <w:rPr>
                <w:rFonts w:ascii="Arial" w:hAnsi="Arial" w:cs="Arial"/>
                <w:b/>
                <w:sz w:val="22"/>
                <w:szCs w:val="22"/>
              </w:rPr>
            </w:pPr>
            <w:r>
              <w:rPr>
                <w:rFonts w:ascii="Arial" w:hAnsi="Arial" w:cs="Arial"/>
                <w:b/>
                <w:sz w:val="22"/>
                <w:szCs w:val="22"/>
              </w:rPr>
              <w:t>PIP – Sustainable and Inclusive Economic Growth</w:t>
            </w:r>
          </w:p>
        </w:tc>
      </w:tr>
      <w:tr w:rsidR="001338F3" w:rsidRPr="001338F3" w:rsidTr="00521C50">
        <w:trPr>
          <w:trHeight w:val="384"/>
        </w:trPr>
        <w:tc>
          <w:tcPr>
            <w:tcW w:w="14425" w:type="dxa"/>
            <w:tcBorders>
              <w:top w:val="single" w:sz="4" w:space="0" w:color="auto"/>
              <w:left w:val="single" w:sz="4" w:space="0" w:color="auto"/>
              <w:bottom w:val="single" w:sz="4" w:space="0" w:color="auto"/>
              <w:right w:val="single" w:sz="4" w:space="0" w:color="auto"/>
            </w:tcBorders>
            <w:shd w:val="clear" w:color="auto" w:fill="FFFF00"/>
          </w:tcPr>
          <w:p w:rsidR="001338F3" w:rsidRPr="001338F3" w:rsidRDefault="001338F3" w:rsidP="00C1525E">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Priority Outcome</w:t>
            </w:r>
            <w:r w:rsidR="004F40B2">
              <w:rPr>
                <w:rFonts w:ascii="Arial" w:hAnsi="Arial" w:cs="Arial"/>
                <w:b/>
                <w:sz w:val="22"/>
                <w:szCs w:val="22"/>
              </w:rPr>
              <w:t xml:space="preserve"> 1</w:t>
            </w:r>
            <w:r w:rsidR="00C1525E">
              <w:rPr>
                <w:rFonts w:ascii="Arial" w:hAnsi="Arial" w:cs="Arial"/>
                <w:b/>
                <w:sz w:val="22"/>
                <w:szCs w:val="22"/>
              </w:rPr>
              <w:t>:</w:t>
            </w:r>
            <w:r w:rsidRPr="001338F3">
              <w:rPr>
                <w:rFonts w:ascii="Arial" w:hAnsi="Arial" w:cs="Arial"/>
                <w:b/>
                <w:sz w:val="22"/>
                <w:szCs w:val="22"/>
              </w:rPr>
              <w:t xml:space="preserve"> A Supportive Business Environment Exists in South Lanarkshire</w:t>
            </w:r>
          </w:p>
        </w:tc>
      </w:tr>
      <w:tr w:rsidR="001338F3" w:rsidRPr="001338F3" w:rsidTr="00521C50">
        <w:tblPrEx>
          <w:shd w:val="clear" w:color="auto" w:fill="auto"/>
        </w:tblPrEx>
        <w:trPr>
          <w:trHeight w:val="6454"/>
        </w:trPr>
        <w:tc>
          <w:tcPr>
            <w:tcW w:w="14425" w:type="dxa"/>
            <w:tcBorders>
              <w:top w:val="single" w:sz="4" w:space="0" w:color="auto"/>
              <w:left w:val="single" w:sz="4" w:space="0" w:color="auto"/>
              <w:bottom w:val="single" w:sz="4" w:space="0" w:color="auto"/>
              <w:right w:val="single" w:sz="4" w:space="0" w:color="auto"/>
            </w:tcBorders>
            <w:shd w:val="clear" w:color="auto" w:fill="FFFFFF" w:themeFill="background1"/>
          </w:tcPr>
          <w:p w:rsidR="001338F3" w:rsidRPr="001338F3" w:rsidRDefault="001338F3" w:rsidP="004D267B">
            <w:pPr>
              <w:shd w:val="clear" w:color="auto" w:fill="FFFFFF" w:themeFill="background1"/>
              <w:rPr>
                <w:rFonts w:cs="Arial"/>
              </w:rPr>
            </w:pPr>
            <w:r w:rsidRPr="001338F3">
              <w:rPr>
                <w:rFonts w:cs="Arial"/>
                <w:b/>
              </w:rPr>
              <w:t xml:space="preserve">Rationale: </w:t>
            </w:r>
            <w:r w:rsidRPr="001338F3">
              <w:rPr>
                <w:rFonts w:cs="Arial"/>
              </w:rPr>
              <w:t>A Strategic Economic Opportunities Assessment paper was produced for the Sustainable Economic Growth Board in February</w:t>
            </w:r>
            <w:r w:rsidRPr="001338F3">
              <w:rPr>
                <w:rFonts w:cs="Arial"/>
                <w:b/>
              </w:rPr>
              <w:t xml:space="preserve"> </w:t>
            </w:r>
            <w:r w:rsidRPr="001338F3">
              <w:rPr>
                <w:rFonts w:cs="Arial"/>
              </w:rPr>
              <w:t>2016 which sought to identify areas of strength and opportunity and potential threats to the South Lanarkshire economy.</w:t>
            </w:r>
            <w:r w:rsidR="00465F1F">
              <w:rPr>
                <w:rFonts w:cs="Arial"/>
              </w:rPr>
              <w:t xml:space="preserve"> </w:t>
            </w:r>
            <w:r w:rsidRPr="001338F3">
              <w:rPr>
                <w:rFonts w:cs="Arial"/>
              </w:rPr>
              <w:t xml:space="preserve"> Some of the findings provide a rationale for continued intervention in the economy, with a view to boosting economic activity and therefore creating increased business and employment opportunity, in order to make a contribution to reducing inequality in South Lanarkshire.</w:t>
            </w:r>
          </w:p>
          <w:p w:rsidR="001338F3" w:rsidRPr="001338F3" w:rsidRDefault="001338F3" w:rsidP="001338F3">
            <w:pPr>
              <w:rPr>
                <w:rFonts w:cs="Arial"/>
              </w:rPr>
            </w:pPr>
          </w:p>
          <w:p w:rsidR="00307DAD" w:rsidRPr="00307DAD" w:rsidRDefault="00307DAD" w:rsidP="001338F3">
            <w:pPr>
              <w:rPr>
                <w:rFonts w:cs="Arial"/>
                <w:b/>
              </w:rPr>
            </w:pPr>
            <w:r w:rsidRPr="00307DAD">
              <w:rPr>
                <w:rFonts w:cs="Arial"/>
                <w:b/>
              </w:rPr>
              <w:t>Context:</w:t>
            </w:r>
          </w:p>
          <w:p w:rsidR="001338F3" w:rsidRPr="001338F3" w:rsidRDefault="001338F3" w:rsidP="001338F3">
            <w:pPr>
              <w:rPr>
                <w:rFonts w:cs="Arial"/>
              </w:rPr>
            </w:pPr>
            <w:r w:rsidRPr="001338F3">
              <w:rPr>
                <w:rFonts w:cs="Arial"/>
              </w:rPr>
              <w:t xml:space="preserve">The </w:t>
            </w:r>
            <w:r w:rsidRPr="001338F3">
              <w:rPr>
                <w:rFonts w:cs="Arial"/>
                <w:b/>
              </w:rPr>
              <w:t>value of goods and services produced</w:t>
            </w:r>
            <w:r w:rsidRPr="001338F3">
              <w:rPr>
                <w:rFonts w:cs="Arial"/>
              </w:rPr>
              <w:t xml:space="preserve"> in South Lanarkshire in 2015 (the most recent data) was £5,784m at 2016 prices – </w:t>
            </w:r>
            <w:r w:rsidRPr="001338F3">
              <w:rPr>
                <w:rFonts w:cs="Arial"/>
                <w:b/>
              </w:rPr>
              <w:t>the highest ever recorded</w:t>
            </w:r>
            <w:r w:rsidRPr="001338F3">
              <w:rPr>
                <w:rFonts w:cs="Arial"/>
              </w:rPr>
              <w:t xml:space="preserve">. </w:t>
            </w:r>
          </w:p>
          <w:p w:rsidR="00307DAD" w:rsidRDefault="00307DAD" w:rsidP="001338F3">
            <w:pPr>
              <w:rPr>
                <w:rFonts w:cs="Arial"/>
              </w:rPr>
            </w:pPr>
          </w:p>
          <w:p w:rsidR="001338F3" w:rsidRPr="001338F3" w:rsidRDefault="001338F3" w:rsidP="001338F3">
            <w:pPr>
              <w:rPr>
                <w:rFonts w:cs="Arial"/>
              </w:rPr>
            </w:pPr>
            <w:r w:rsidRPr="001338F3">
              <w:rPr>
                <w:rFonts w:cs="Arial"/>
              </w:rPr>
              <w:t xml:space="preserve">There were 1,260 </w:t>
            </w:r>
            <w:r w:rsidR="00CA70D4">
              <w:rPr>
                <w:rFonts w:cs="Arial"/>
                <w:b/>
              </w:rPr>
              <w:t>new business start-</w:t>
            </w:r>
            <w:r w:rsidRPr="001338F3">
              <w:rPr>
                <w:rFonts w:cs="Arial"/>
                <w:b/>
              </w:rPr>
              <w:t>ups</w:t>
            </w:r>
            <w:r w:rsidRPr="001338F3">
              <w:rPr>
                <w:rFonts w:cs="Arial"/>
              </w:rPr>
              <w:t xml:space="preserve"> in 2015. </w:t>
            </w:r>
            <w:r w:rsidR="0002332F">
              <w:rPr>
                <w:rFonts w:cs="Arial"/>
              </w:rPr>
              <w:t xml:space="preserve"> </w:t>
            </w:r>
            <w:r w:rsidRPr="001338F3">
              <w:rPr>
                <w:rFonts w:cs="Arial"/>
              </w:rPr>
              <w:t>Business start</w:t>
            </w:r>
            <w:r w:rsidR="00CA70D4">
              <w:rPr>
                <w:rFonts w:cs="Arial"/>
              </w:rPr>
              <w:t>-</w:t>
            </w:r>
            <w:r w:rsidRPr="001338F3">
              <w:rPr>
                <w:rFonts w:cs="Arial"/>
              </w:rPr>
              <w:t xml:space="preserve">ups in South Lanarkshire tend to produce fewer jobs than </w:t>
            </w:r>
            <w:r w:rsidR="0054062B">
              <w:rPr>
                <w:rFonts w:cs="Arial"/>
              </w:rPr>
              <w:t>in Scotland as a whole however.  A</w:t>
            </w:r>
            <w:r w:rsidRPr="001338F3">
              <w:rPr>
                <w:rFonts w:cs="Arial"/>
              </w:rPr>
              <w:t xml:space="preserve">nalysis of the </w:t>
            </w:r>
            <w:r w:rsidRPr="001338F3">
              <w:rPr>
                <w:rFonts w:cs="Arial"/>
                <w:b/>
              </w:rPr>
              <w:t>3 year business survival rate</w:t>
            </w:r>
            <w:r w:rsidRPr="001338F3">
              <w:rPr>
                <w:rFonts w:cs="Arial"/>
              </w:rPr>
              <w:t xml:space="preserve"> for companies started in 2011 indicates that 60.7% were still active in 2014, </w:t>
            </w:r>
            <w:r w:rsidRPr="001338F3">
              <w:rPr>
                <w:rFonts w:cs="Arial"/>
                <w:b/>
              </w:rPr>
              <w:t>the highest since 2007</w:t>
            </w:r>
            <w:r w:rsidRPr="001338F3">
              <w:rPr>
                <w:rFonts w:cs="Arial"/>
              </w:rPr>
              <w:t xml:space="preserve"> but still slightly below the Scottish average (62%).</w:t>
            </w:r>
          </w:p>
          <w:p w:rsidR="001338F3" w:rsidRPr="001338F3" w:rsidRDefault="001338F3" w:rsidP="001338F3">
            <w:pPr>
              <w:rPr>
                <w:rFonts w:cs="Arial"/>
              </w:rPr>
            </w:pPr>
          </w:p>
          <w:p w:rsidR="001338F3" w:rsidRPr="001338F3" w:rsidRDefault="001338F3" w:rsidP="001338F3">
            <w:pPr>
              <w:rPr>
                <w:rFonts w:cs="Arial"/>
              </w:rPr>
            </w:pPr>
            <w:r w:rsidRPr="001338F3">
              <w:rPr>
                <w:rFonts w:cs="Arial"/>
                <w:b/>
              </w:rPr>
              <w:t>Business Research and Development spend</w:t>
            </w:r>
            <w:r w:rsidRPr="001338F3">
              <w:rPr>
                <w:rFonts w:cs="Arial"/>
              </w:rPr>
              <w:t xml:space="preserve"> in 2015 was £18.7m but this has fallen over the previous year as has South Lanarkshire’s share of the Scottish total spend on R&amp;</w:t>
            </w:r>
            <w:r w:rsidR="00307DAD">
              <w:rPr>
                <w:rFonts w:cs="Arial"/>
              </w:rPr>
              <w:t>D</w:t>
            </w:r>
            <w:r w:rsidR="00C5067B">
              <w:rPr>
                <w:rFonts w:cs="Arial"/>
              </w:rPr>
              <w:t>.</w:t>
            </w:r>
          </w:p>
          <w:p w:rsidR="001338F3" w:rsidRPr="001338F3" w:rsidRDefault="001338F3" w:rsidP="001338F3">
            <w:pPr>
              <w:rPr>
                <w:rFonts w:cs="Arial"/>
              </w:rPr>
            </w:pPr>
          </w:p>
          <w:p w:rsidR="001338F3" w:rsidRPr="001338F3" w:rsidRDefault="001338F3" w:rsidP="001338F3">
            <w:pPr>
              <w:shd w:val="clear" w:color="auto" w:fill="FFFFFF" w:themeFill="background1"/>
              <w:rPr>
                <w:rFonts w:cs="Arial"/>
              </w:rPr>
            </w:pPr>
            <w:r w:rsidRPr="001338F3">
              <w:rPr>
                <w:rFonts w:cs="Arial"/>
              </w:rPr>
              <w:t xml:space="preserve">In 2017 it was estimated that there were 163 </w:t>
            </w:r>
            <w:r w:rsidRPr="001338F3">
              <w:rPr>
                <w:rFonts w:cs="Arial"/>
                <w:b/>
              </w:rPr>
              <w:t>active Social Enterprises</w:t>
            </w:r>
            <w:r w:rsidRPr="001338F3">
              <w:rPr>
                <w:rFonts w:cs="Arial"/>
              </w:rPr>
              <w:t xml:space="preserve"> in South Lanarkshire an increase o</w:t>
            </w:r>
            <w:r w:rsidR="00C5067B">
              <w:rPr>
                <w:rFonts w:cs="Arial"/>
              </w:rPr>
              <w:t>f 20 social enterprises</w:t>
            </w:r>
            <w:r w:rsidRPr="001338F3">
              <w:rPr>
                <w:rFonts w:cs="Arial"/>
              </w:rPr>
              <w:t xml:space="preserve"> over the last two years.</w:t>
            </w:r>
            <w:r w:rsidR="00465F1F">
              <w:rPr>
                <w:rFonts w:cs="Arial"/>
              </w:rPr>
              <w:t xml:space="preserve"> </w:t>
            </w:r>
            <w:r w:rsidRPr="001338F3">
              <w:rPr>
                <w:rFonts w:cs="Arial"/>
              </w:rPr>
              <w:t xml:space="preserve"> South Lanarkshire places 10</w:t>
            </w:r>
            <w:r w:rsidRPr="001338F3">
              <w:rPr>
                <w:rFonts w:cs="Arial"/>
                <w:vertAlign w:val="superscript"/>
              </w:rPr>
              <w:t>th</w:t>
            </w:r>
            <w:r w:rsidRPr="001338F3">
              <w:rPr>
                <w:rFonts w:cs="Arial"/>
              </w:rPr>
              <w:t xml:space="preserve"> out of the 32 authorities for the national share of Social Enterprises accounting for 2.9% of the Scottish total number of SE’s.</w:t>
            </w:r>
            <w:r w:rsidR="00465F1F">
              <w:rPr>
                <w:rFonts w:cs="Arial"/>
              </w:rPr>
              <w:t xml:space="preserve"> </w:t>
            </w:r>
            <w:r w:rsidRPr="001338F3">
              <w:rPr>
                <w:rFonts w:cs="Arial"/>
              </w:rPr>
              <w:t xml:space="preserve"> Around 20% of South Lanarkshire’s Social Enterprises were involved in Childcare, with Arts and Creative Industries and Health and Social Care next most common. </w:t>
            </w:r>
          </w:p>
          <w:p w:rsidR="001338F3" w:rsidRPr="001338F3" w:rsidRDefault="001338F3" w:rsidP="001338F3">
            <w:pPr>
              <w:shd w:val="clear" w:color="auto" w:fill="FFFFFF" w:themeFill="background1"/>
              <w:rPr>
                <w:rFonts w:cs="Arial"/>
              </w:rPr>
            </w:pPr>
          </w:p>
          <w:p w:rsidR="001338F3" w:rsidRPr="001338F3" w:rsidRDefault="001338F3" w:rsidP="001338F3">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 xml:space="preserve">Drivers: </w:t>
            </w:r>
          </w:p>
          <w:p w:rsidR="001338F3" w:rsidRPr="001338F3" w:rsidRDefault="001338F3" w:rsidP="00A570DF">
            <w:pPr>
              <w:pStyle w:val="ListBullet"/>
              <w:numPr>
                <w:ilvl w:val="0"/>
                <w:numId w:val="0"/>
              </w:numPr>
              <w:tabs>
                <w:tab w:val="left" w:pos="720"/>
              </w:tabs>
              <w:rPr>
                <w:rFonts w:ascii="Arial" w:hAnsi="Arial" w:cs="Arial"/>
                <w:b/>
                <w:sz w:val="22"/>
                <w:szCs w:val="22"/>
              </w:rPr>
            </w:pPr>
            <w:r w:rsidRPr="001338F3">
              <w:rPr>
                <w:rFonts w:ascii="Arial" w:hAnsi="Arial" w:cs="Arial"/>
                <w:sz w:val="22"/>
                <w:szCs w:val="22"/>
              </w:rPr>
              <w:t>Scottish Government Economic Strategy,</w:t>
            </w:r>
            <w:r w:rsidRPr="001338F3">
              <w:rPr>
                <w:rFonts w:ascii="Arial" w:hAnsi="Arial" w:cs="Arial"/>
                <w:b/>
                <w:sz w:val="22"/>
                <w:szCs w:val="22"/>
              </w:rPr>
              <w:t xml:space="preserve"> </w:t>
            </w:r>
            <w:r w:rsidRPr="001338F3">
              <w:rPr>
                <w:rFonts w:ascii="Arial" w:hAnsi="Arial" w:cs="Arial"/>
                <w:sz w:val="22"/>
                <w:szCs w:val="22"/>
              </w:rPr>
              <w:t xml:space="preserve">Council </w:t>
            </w:r>
            <w:r w:rsidR="00C5067B">
              <w:rPr>
                <w:rFonts w:ascii="Arial" w:hAnsi="Arial" w:cs="Arial"/>
                <w:sz w:val="22"/>
                <w:szCs w:val="22"/>
              </w:rPr>
              <w:t>P</w:t>
            </w:r>
            <w:r w:rsidRPr="001338F3">
              <w:rPr>
                <w:rFonts w:ascii="Arial" w:hAnsi="Arial" w:cs="Arial"/>
                <w:sz w:val="22"/>
                <w:szCs w:val="22"/>
              </w:rPr>
              <w:t>lan, S</w:t>
            </w:r>
            <w:r w:rsidR="00C5067B">
              <w:rPr>
                <w:rFonts w:ascii="Arial" w:hAnsi="Arial" w:cs="Arial"/>
                <w:sz w:val="22"/>
                <w:szCs w:val="22"/>
              </w:rPr>
              <w:t xml:space="preserve">outh Lanarkshire </w:t>
            </w:r>
            <w:r w:rsidR="0054062B">
              <w:rPr>
                <w:rFonts w:ascii="Arial" w:hAnsi="Arial" w:cs="Arial"/>
                <w:sz w:val="22"/>
                <w:szCs w:val="22"/>
              </w:rPr>
              <w:t>Economic and Sustainable D</w:t>
            </w:r>
            <w:r w:rsidRPr="001338F3">
              <w:rPr>
                <w:rFonts w:ascii="Arial" w:hAnsi="Arial" w:cs="Arial"/>
                <w:sz w:val="22"/>
                <w:szCs w:val="22"/>
              </w:rPr>
              <w:t xml:space="preserve">evelopment </w:t>
            </w:r>
            <w:r w:rsidR="0054062B">
              <w:rPr>
                <w:rFonts w:ascii="Arial" w:hAnsi="Arial" w:cs="Arial"/>
                <w:sz w:val="22"/>
                <w:szCs w:val="22"/>
              </w:rPr>
              <w:t>S</w:t>
            </w:r>
            <w:r w:rsidRPr="001338F3">
              <w:rPr>
                <w:rFonts w:ascii="Arial" w:hAnsi="Arial" w:cs="Arial"/>
                <w:sz w:val="22"/>
                <w:szCs w:val="22"/>
              </w:rPr>
              <w:t>trategies, City Deal and City Region, external funding, emerging partnership opportunities, new and developing policy and legislation.</w:t>
            </w:r>
          </w:p>
        </w:tc>
      </w:tr>
    </w:tbl>
    <w:p w:rsidR="00FB18C2" w:rsidRDefault="00FB18C2">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1803"/>
        <w:gridCol w:w="1923"/>
        <w:gridCol w:w="2475"/>
        <w:gridCol w:w="2306"/>
        <w:gridCol w:w="2306"/>
      </w:tblGrid>
      <w:tr w:rsidR="001338F3" w:rsidRPr="001338F3" w:rsidTr="00521C50">
        <w:trPr>
          <w:trHeight w:val="344"/>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38F3" w:rsidRPr="001338F3" w:rsidRDefault="001338F3" w:rsidP="001338F3">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We will measure progress towards this priority outcome with reference to the following indicators and targets</w:t>
            </w:r>
          </w:p>
        </w:tc>
      </w:tr>
      <w:tr w:rsidR="00914A9C" w:rsidRPr="001338F3" w:rsidTr="00521C50">
        <w:tc>
          <w:tcPr>
            <w:tcW w:w="361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4CF6" w:rsidRPr="001338F3" w:rsidRDefault="00384CF6" w:rsidP="001338F3">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Indicator(s) and Source</w:t>
            </w:r>
          </w:p>
        </w:tc>
        <w:tc>
          <w:tcPr>
            <w:tcW w:w="180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4CF6" w:rsidRPr="001338F3" w:rsidRDefault="00384CF6" w:rsidP="001338F3">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Baseline</w:t>
            </w:r>
          </w:p>
        </w:tc>
        <w:tc>
          <w:tcPr>
            <w:tcW w:w="1923" w:type="dxa"/>
            <w:tcBorders>
              <w:top w:val="single" w:sz="4" w:space="0" w:color="auto"/>
              <w:left w:val="single" w:sz="4" w:space="0" w:color="auto"/>
              <w:right w:val="single" w:sz="4" w:space="0" w:color="auto"/>
            </w:tcBorders>
            <w:shd w:val="clear" w:color="auto" w:fill="D6E3BC" w:themeFill="accent3" w:themeFillTint="66"/>
            <w:vAlign w:val="center"/>
          </w:tcPr>
          <w:p w:rsidR="00384CF6" w:rsidRPr="001338F3" w:rsidRDefault="00384CF6" w:rsidP="001338F3">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Latest figures reported</w:t>
            </w:r>
          </w:p>
        </w:tc>
        <w:tc>
          <w:tcPr>
            <w:tcW w:w="2475" w:type="dxa"/>
            <w:tcBorders>
              <w:top w:val="single" w:sz="4" w:space="0" w:color="auto"/>
              <w:left w:val="single" w:sz="4" w:space="0" w:color="auto"/>
              <w:right w:val="single" w:sz="4" w:space="0" w:color="auto"/>
            </w:tcBorders>
            <w:shd w:val="clear" w:color="auto" w:fill="D6E3BC" w:themeFill="accent3" w:themeFillTint="66"/>
            <w:vAlign w:val="center"/>
          </w:tcPr>
          <w:p w:rsidR="00FB18C2" w:rsidRDefault="00384CF6" w:rsidP="001338F3">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 xml:space="preserve">Short Term Target </w:t>
            </w:r>
          </w:p>
          <w:p w:rsidR="00384CF6" w:rsidRPr="001338F3" w:rsidRDefault="00384CF6" w:rsidP="001338F3">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(1 year)</w:t>
            </w:r>
          </w:p>
        </w:tc>
        <w:tc>
          <w:tcPr>
            <w:tcW w:w="2306" w:type="dxa"/>
            <w:tcBorders>
              <w:top w:val="single" w:sz="4" w:space="0" w:color="auto"/>
              <w:left w:val="single" w:sz="4" w:space="0" w:color="auto"/>
              <w:right w:val="single" w:sz="4" w:space="0" w:color="auto"/>
            </w:tcBorders>
            <w:shd w:val="clear" w:color="auto" w:fill="D6E3BC" w:themeFill="accent3" w:themeFillTint="66"/>
            <w:vAlign w:val="center"/>
          </w:tcPr>
          <w:p w:rsidR="00384CF6" w:rsidRPr="001338F3" w:rsidRDefault="00384CF6" w:rsidP="006628E8">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Medium Term Target (3yr)</w:t>
            </w:r>
          </w:p>
        </w:tc>
        <w:tc>
          <w:tcPr>
            <w:tcW w:w="23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4CF6" w:rsidRPr="001338F3" w:rsidRDefault="00384CF6" w:rsidP="006628E8">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Long Term Target</w:t>
            </w:r>
          </w:p>
          <w:p w:rsidR="00384CF6" w:rsidRPr="001338F3" w:rsidRDefault="00384CF6" w:rsidP="006628E8">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(10yr)</w:t>
            </w:r>
          </w:p>
        </w:tc>
      </w:tr>
      <w:tr w:rsidR="00C958B7" w:rsidRPr="001338F3" w:rsidTr="00521C50">
        <w:trPr>
          <w:trHeight w:val="525"/>
        </w:trPr>
        <w:tc>
          <w:tcPr>
            <w:tcW w:w="3612" w:type="dxa"/>
            <w:tcBorders>
              <w:top w:val="single" w:sz="4" w:space="0" w:color="auto"/>
              <w:left w:val="single" w:sz="4" w:space="0" w:color="auto"/>
              <w:bottom w:val="single" w:sz="4" w:space="0" w:color="auto"/>
              <w:right w:val="single" w:sz="4" w:space="0" w:color="auto"/>
            </w:tcBorders>
          </w:tcPr>
          <w:p w:rsidR="00C958B7" w:rsidRPr="001338F3" w:rsidRDefault="00C958B7" w:rsidP="001338F3">
            <w:pPr>
              <w:pStyle w:val="ListBullet"/>
              <w:numPr>
                <w:ilvl w:val="0"/>
                <w:numId w:val="0"/>
              </w:numPr>
              <w:tabs>
                <w:tab w:val="left" w:pos="720"/>
              </w:tabs>
              <w:rPr>
                <w:rFonts w:ascii="Arial" w:hAnsi="Arial" w:cs="Arial"/>
                <w:sz w:val="22"/>
                <w:szCs w:val="22"/>
              </w:rPr>
            </w:pPr>
            <w:r w:rsidRPr="001338F3">
              <w:rPr>
                <w:rFonts w:ascii="Arial" w:hAnsi="Arial" w:cs="Arial"/>
                <w:b/>
                <w:sz w:val="22"/>
                <w:szCs w:val="22"/>
              </w:rPr>
              <w:t>Increase</w:t>
            </w:r>
            <w:r w:rsidRPr="001338F3">
              <w:rPr>
                <w:rFonts w:ascii="Arial" w:hAnsi="Arial" w:cs="Arial"/>
                <w:sz w:val="22"/>
                <w:szCs w:val="22"/>
              </w:rPr>
              <w:t xml:space="preserve"> the number of registered businesses per 10,000</w:t>
            </w:r>
          </w:p>
          <w:p w:rsidR="00C958B7" w:rsidRDefault="00C958B7" w:rsidP="001338F3">
            <w:pPr>
              <w:pStyle w:val="ListBullet"/>
              <w:numPr>
                <w:ilvl w:val="0"/>
                <w:numId w:val="0"/>
              </w:numPr>
              <w:tabs>
                <w:tab w:val="left" w:pos="720"/>
              </w:tabs>
              <w:rPr>
                <w:rFonts w:ascii="Arial" w:hAnsi="Arial" w:cs="Arial"/>
                <w:sz w:val="22"/>
                <w:szCs w:val="22"/>
              </w:rPr>
            </w:pPr>
          </w:p>
          <w:p w:rsidR="00C958B7" w:rsidRPr="0054062B" w:rsidRDefault="00C958B7" w:rsidP="001338F3">
            <w:pPr>
              <w:pStyle w:val="ListBullet"/>
              <w:numPr>
                <w:ilvl w:val="0"/>
                <w:numId w:val="0"/>
              </w:numPr>
              <w:tabs>
                <w:tab w:val="left" w:pos="720"/>
              </w:tabs>
              <w:rPr>
                <w:rFonts w:ascii="Arial" w:hAnsi="Arial" w:cs="Arial"/>
                <w:b/>
                <w:sz w:val="22"/>
                <w:szCs w:val="22"/>
              </w:rPr>
            </w:pPr>
            <w:r w:rsidRPr="0054062B">
              <w:rPr>
                <w:rFonts w:ascii="Arial" w:hAnsi="Arial" w:cs="Arial"/>
                <w:b/>
                <w:sz w:val="22"/>
                <w:szCs w:val="22"/>
              </w:rPr>
              <w:t>Source:- Office of National Statistics (ONS)</w:t>
            </w:r>
          </w:p>
        </w:tc>
        <w:tc>
          <w:tcPr>
            <w:tcW w:w="1803" w:type="dxa"/>
            <w:tcBorders>
              <w:top w:val="single" w:sz="4" w:space="0" w:color="auto"/>
              <w:left w:val="single" w:sz="4" w:space="0" w:color="auto"/>
              <w:bottom w:val="single" w:sz="4" w:space="0" w:color="auto"/>
              <w:right w:val="single" w:sz="4" w:space="0" w:color="auto"/>
            </w:tcBorders>
          </w:tcPr>
          <w:p w:rsidR="002A3887" w:rsidRDefault="002A3887" w:rsidP="002A3887">
            <w:pPr>
              <w:jc w:val="center"/>
              <w:rPr>
                <w:rFonts w:cs="Arial"/>
              </w:rPr>
            </w:pPr>
            <w:r w:rsidRPr="0038724A">
              <w:rPr>
                <w:rFonts w:cs="Arial"/>
              </w:rPr>
              <w:t>(2015)</w:t>
            </w:r>
          </w:p>
          <w:p w:rsidR="0038724A" w:rsidRPr="0038724A" w:rsidRDefault="0038724A" w:rsidP="002A3887">
            <w:pPr>
              <w:jc w:val="center"/>
              <w:rPr>
                <w:rFonts w:cs="Arial"/>
              </w:rPr>
            </w:pPr>
          </w:p>
          <w:p w:rsidR="002A3887" w:rsidRPr="0038724A" w:rsidRDefault="002A3887" w:rsidP="002A3887">
            <w:pPr>
              <w:jc w:val="center"/>
              <w:rPr>
                <w:rFonts w:cs="Arial"/>
              </w:rPr>
            </w:pPr>
            <w:r w:rsidRPr="0038724A">
              <w:rPr>
                <w:rFonts w:cs="Arial"/>
              </w:rPr>
              <w:t>South Lanarkshire - 346 per 10,000</w:t>
            </w:r>
          </w:p>
          <w:p w:rsidR="002A3887" w:rsidRPr="0038724A" w:rsidRDefault="002A3887" w:rsidP="002A3887">
            <w:pPr>
              <w:jc w:val="center"/>
              <w:rPr>
                <w:rFonts w:cs="Arial"/>
              </w:rPr>
            </w:pPr>
          </w:p>
          <w:p w:rsidR="000E770B" w:rsidRPr="0038724A" w:rsidRDefault="002A3887" w:rsidP="002A3887">
            <w:pPr>
              <w:jc w:val="center"/>
              <w:rPr>
                <w:rFonts w:cs="Arial"/>
              </w:rPr>
            </w:pPr>
            <w:r w:rsidRPr="0038724A">
              <w:rPr>
                <w:rFonts w:cs="Arial"/>
              </w:rPr>
              <w:t>Scotland - 382 per 10,000</w:t>
            </w:r>
          </w:p>
        </w:tc>
        <w:tc>
          <w:tcPr>
            <w:tcW w:w="1923" w:type="dxa"/>
            <w:tcBorders>
              <w:left w:val="single" w:sz="4" w:space="0" w:color="auto"/>
              <w:right w:val="single" w:sz="4" w:space="0" w:color="auto"/>
            </w:tcBorders>
          </w:tcPr>
          <w:p w:rsidR="00C958B7" w:rsidRDefault="00C958B7" w:rsidP="00944F80">
            <w:pPr>
              <w:pStyle w:val="ListBullet"/>
              <w:numPr>
                <w:ilvl w:val="0"/>
                <w:numId w:val="0"/>
              </w:numPr>
              <w:tabs>
                <w:tab w:val="left" w:pos="720"/>
              </w:tabs>
              <w:jc w:val="center"/>
              <w:rPr>
                <w:rFonts w:ascii="Arial" w:hAnsi="Arial" w:cs="Arial"/>
                <w:sz w:val="22"/>
                <w:szCs w:val="22"/>
              </w:rPr>
            </w:pPr>
            <w:r w:rsidRPr="0038724A">
              <w:rPr>
                <w:rFonts w:ascii="Arial" w:hAnsi="Arial" w:cs="Arial"/>
                <w:sz w:val="22"/>
                <w:szCs w:val="22"/>
              </w:rPr>
              <w:t>(2016)</w:t>
            </w:r>
          </w:p>
          <w:p w:rsidR="0038724A" w:rsidRPr="0038724A" w:rsidRDefault="0038724A" w:rsidP="00944F80">
            <w:pPr>
              <w:pStyle w:val="ListBullet"/>
              <w:numPr>
                <w:ilvl w:val="0"/>
                <w:numId w:val="0"/>
              </w:numPr>
              <w:tabs>
                <w:tab w:val="left" w:pos="720"/>
              </w:tabs>
              <w:jc w:val="center"/>
              <w:rPr>
                <w:rFonts w:ascii="Arial" w:hAnsi="Arial" w:cs="Arial"/>
                <w:sz w:val="22"/>
                <w:szCs w:val="22"/>
              </w:rPr>
            </w:pPr>
          </w:p>
          <w:p w:rsidR="00C958B7" w:rsidRPr="0038724A" w:rsidRDefault="00C958B7" w:rsidP="00944F80">
            <w:pPr>
              <w:jc w:val="center"/>
              <w:rPr>
                <w:rFonts w:cs="Arial"/>
              </w:rPr>
            </w:pPr>
            <w:r w:rsidRPr="0038724A">
              <w:rPr>
                <w:rFonts w:cs="Arial"/>
              </w:rPr>
              <w:t xml:space="preserve">South Lanarkshire - 354 per 10,000 </w:t>
            </w:r>
          </w:p>
          <w:p w:rsidR="00C958B7" w:rsidRPr="0038724A" w:rsidRDefault="00C958B7" w:rsidP="00944F80">
            <w:pPr>
              <w:jc w:val="center"/>
              <w:rPr>
                <w:rFonts w:cs="Arial"/>
              </w:rPr>
            </w:pPr>
          </w:p>
          <w:p w:rsidR="00C958B7" w:rsidRPr="0038724A" w:rsidRDefault="00C958B7" w:rsidP="00944F80">
            <w:pPr>
              <w:jc w:val="center"/>
              <w:rPr>
                <w:rFonts w:cs="Arial"/>
              </w:rPr>
            </w:pPr>
            <w:r w:rsidRPr="0038724A">
              <w:rPr>
                <w:rFonts w:cs="Arial"/>
              </w:rPr>
              <w:t>Scotland - 388 per 10,000</w:t>
            </w:r>
          </w:p>
        </w:tc>
        <w:tc>
          <w:tcPr>
            <w:tcW w:w="2475" w:type="dxa"/>
            <w:tcBorders>
              <w:left w:val="single" w:sz="4" w:space="0" w:color="auto"/>
              <w:right w:val="single" w:sz="4" w:space="0" w:color="auto"/>
            </w:tcBorders>
          </w:tcPr>
          <w:p w:rsidR="00C958B7" w:rsidRPr="001338F3" w:rsidRDefault="00C958B7" w:rsidP="007A7526">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Increase number of businesses registered per 10</w:t>
            </w:r>
            <w:r>
              <w:rPr>
                <w:rFonts w:ascii="Arial" w:hAnsi="Arial" w:cs="Arial"/>
                <w:sz w:val="22"/>
                <w:szCs w:val="22"/>
              </w:rPr>
              <w:t>,</w:t>
            </w:r>
            <w:r w:rsidRPr="001338F3">
              <w:rPr>
                <w:rFonts w:ascii="Arial" w:hAnsi="Arial" w:cs="Arial"/>
                <w:sz w:val="22"/>
                <w:szCs w:val="22"/>
              </w:rPr>
              <w:t>000 population</w:t>
            </w:r>
          </w:p>
        </w:tc>
        <w:tc>
          <w:tcPr>
            <w:tcW w:w="2306" w:type="dxa"/>
            <w:tcBorders>
              <w:left w:val="single" w:sz="4" w:space="0" w:color="auto"/>
              <w:right w:val="single" w:sz="4" w:space="0" w:color="auto"/>
            </w:tcBorders>
          </w:tcPr>
          <w:p w:rsidR="00C958B7" w:rsidRPr="001338F3" w:rsidRDefault="00C958B7" w:rsidP="007A7526">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Maintain performanc</w:t>
            </w:r>
            <w:r>
              <w:rPr>
                <w:rFonts w:ascii="Arial" w:hAnsi="Arial" w:cs="Arial"/>
                <w:sz w:val="22"/>
                <w:szCs w:val="22"/>
              </w:rPr>
              <w:t>e to, at least, match Scottish A</w:t>
            </w:r>
            <w:r w:rsidRPr="001338F3">
              <w:rPr>
                <w:rFonts w:ascii="Arial" w:hAnsi="Arial" w:cs="Arial"/>
                <w:sz w:val="22"/>
                <w:szCs w:val="22"/>
              </w:rPr>
              <w:t>verage</w:t>
            </w:r>
          </w:p>
        </w:tc>
        <w:tc>
          <w:tcPr>
            <w:tcW w:w="2306" w:type="dxa"/>
            <w:tcBorders>
              <w:top w:val="single" w:sz="4" w:space="0" w:color="auto"/>
              <w:left w:val="single" w:sz="4" w:space="0" w:color="auto"/>
              <w:bottom w:val="single" w:sz="4" w:space="0" w:color="auto"/>
              <w:right w:val="single" w:sz="4" w:space="0" w:color="auto"/>
            </w:tcBorders>
          </w:tcPr>
          <w:p w:rsidR="00C958B7" w:rsidRPr="001338F3" w:rsidRDefault="00C958B7" w:rsidP="007A7526">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Improve performance</w:t>
            </w:r>
            <w:r>
              <w:rPr>
                <w:rFonts w:ascii="Arial" w:hAnsi="Arial" w:cs="Arial"/>
                <w:sz w:val="22"/>
                <w:szCs w:val="22"/>
              </w:rPr>
              <w:t xml:space="preserve"> to continue to match Scottish A</w:t>
            </w:r>
            <w:r w:rsidRPr="001338F3">
              <w:rPr>
                <w:rFonts w:ascii="Arial" w:hAnsi="Arial" w:cs="Arial"/>
                <w:sz w:val="22"/>
                <w:szCs w:val="22"/>
              </w:rPr>
              <w:t>verage</w:t>
            </w:r>
          </w:p>
        </w:tc>
      </w:tr>
      <w:tr w:rsidR="00C958B7" w:rsidRPr="001338F3" w:rsidTr="00521C50">
        <w:trPr>
          <w:trHeight w:val="525"/>
        </w:trPr>
        <w:tc>
          <w:tcPr>
            <w:tcW w:w="3612" w:type="dxa"/>
            <w:tcBorders>
              <w:top w:val="single" w:sz="4" w:space="0" w:color="auto"/>
              <w:left w:val="single" w:sz="4" w:space="0" w:color="auto"/>
              <w:bottom w:val="single" w:sz="4" w:space="0" w:color="auto"/>
              <w:right w:val="single" w:sz="4" w:space="0" w:color="auto"/>
            </w:tcBorders>
          </w:tcPr>
          <w:p w:rsidR="00C958B7" w:rsidRPr="001338F3" w:rsidRDefault="00C958B7" w:rsidP="001338F3">
            <w:pPr>
              <w:pStyle w:val="ListBullet"/>
              <w:numPr>
                <w:ilvl w:val="0"/>
                <w:numId w:val="0"/>
              </w:numPr>
              <w:tabs>
                <w:tab w:val="left" w:pos="720"/>
              </w:tabs>
              <w:rPr>
                <w:rFonts w:ascii="Arial" w:hAnsi="Arial" w:cs="Arial"/>
                <w:sz w:val="22"/>
                <w:szCs w:val="22"/>
              </w:rPr>
            </w:pPr>
            <w:r w:rsidRPr="001338F3">
              <w:rPr>
                <w:rFonts w:ascii="Arial" w:hAnsi="Arial" w:cs="Arial"/>
                <w:b/>
                <w:sz w:val="22"/>
                <w:szCs w:val="22"/>
              </w:rPr>
              <w:t xml:space="preserve">Increase </w:t>
            </w:r>
            <w:r w:rsidRPr="001338F3">
              <w:rPr>
                <w:rFonts w:ascii="Arial" w:hAnsi="Arial" w:cs="Arial"/>
                <w:sz w:val="22"/>
                <w:szCs w:val="22"/>
              </w:rPr>
              <w:t>Gross Value Added (GVA)</w:t>
            </w:r>
          </w:p>
          <w:p w:rsidR="00C958B7" w:rsidRPr="001338F3" w:rsidRDefault="00C958B7" w:rsidP="001338F3">
            <w:pPr>
              <w:pStyle w:val="ListBullet"/>
              <w:numPr>
                <w:ilvl w:val="0"/>
                <w:numId w:val="0"/>
              </w:numPr>
              <w:tabs>
                <w:tab w:val="left" w:pos="720"/>
              </w:tabs>
              <w:rPr>
                <w:rFonts w:ascii="Arial" w:hAnsi="Arial" w:cs="Arial"/>
                <w:sz w:val="22"/>
                <w:szCs w:val="22"/>
              </w:rPr>
            </w:pPr>
          </w:p>
          <w:p w:rsidR="00C958B7" w:rsidRPr="0054062B" w:rsidRDefault="00C958B7" w:rsidP="001338F3">
            <w:pPr>
              <w:pStyle w:val="ListBullet"/>
              <w:numPr>
                <w:ilvl w:val="0"/>
                <w:numId w:val="0"/>
              </w:numPr>
              <w:tabs>
                <w:tab w:val="left" w:pos="720"/>
              </w:tabs>
              <w:rPr>
                <w:rFonts w:ascii="Arial" w:hAnsi="Arial" w:cs="Arial"/>
                <w:b/>
                <w:sz w:val="22"/>
                <w:szCs w:val="22"/>
              </w:rPr>
            </w:pPr>
            <w:r w:rsidRPr="0054062B">
              <w:rPr>
                <w:rFonts w:ascii="Arial" w:hAnsi="Arial" w:cs="Arial"/>
                <w:b/>
                <w:sz w:val="22"/>
                <w:szCs w:val="22"/>
              </w:rPr>
              <w:t>Source:- Office of National Statistics (ONS)</w:t>
            </w:r>
          </w:p>
        </w:tc>
        <w:tc>
          <w:tcPr>
            <w:tcW w:w="1803" w:type="dxa"/>
            <w:tcBorders>
              <w:top w:val="single" w:sz="4" w:space="0" w:color="auto"/>
              <w:left w:val="single" w:sz="4" w:space="0" w:color="auto"/>
              <w:bottom w:val="single" w:sz="4" w:space="0" w:color="auto"/>
              <w:right w:val="single" w:sz="4" w:space="0" w:color="auto"/>
            </w:tcBorders>
          </w:tcPr>
          <w:p w:rsidR="00C958B7" w:rsidRDefault="00C958B7" w:rsidP="001338F3">
            <w:pPr>
              <w:jc w:val="center"/>
              <w:rPr>
                <w:rFonts w:cs="Arial"/>
              </w:rPr>
            </w:pPr>
            <w:r>
              <w:rPr>
                <w:rFonts w:cs="Arial"/>
              </w:rPr>
              <w:t>(</w:t>
            </w:r>
            <w:r w:rsidRPr="001338F3">
              <w:rPr>
                <w:rFonts w:cs="Arial"/>
              </w:rPr>
              <w:t>2015</w:t>
            </w:r>
            <w:r>
              <w:rPr>
                <w:rFonts w:cs="Arial"/>
              </w:rPr>
              <w:t>)</w:t>
            </w:r>
          </w:p>
          <w:p w:rsidR="00030156" w:rsidRDefault="00030156" w:rsidP="001338F3">
            <w:pPr>
              <w:jc w:val="center"/>
              <w:rPr>
                <w:rFonts w:cs="Arial"/>
              </w:rPr>
            </w:pPr>
          </w:p>
          <w:p w:rsidR="00C958B7" w:rsidRPr="001338F3" w:rsidRDefault="00C958B7" w:rsidP="001338F3">
            <w:pPr>
              <w:jc w:val="center"/>
              <w:rPr>
                <w:rFonts w:cs="Arial"/>
              </w:rPr>
            </w:pPr>
            <w:r w:rsidRPr="001338F3">
              <w:rPr>
                <w:rFonts w:cs="Arial"/>
              </w:rPr>
              <w:t>South Lanarkshire - £5,784m</w:t>
            </w:r>
          </w:p>
          <w:p w:rsidR="00C958B7" w:rsidRPr="001338F3" w:rsidRDefault="00C958B7" w:rsidP="001338F3">
            <w:pPr>
              <w:jc w:val="center"/>
              <w:rPr>
                <w:rFonts w:cs="Arial"/>
              </w:rPr>
            </w:pPr>
            <w:r w:rsidRPr="001338F3">
              <w:rPr>
                <w:rFonts w:cs="Arial"/>
              </w:rPr>
              <w:t>(4.55% of Scottish total)</w:t>
            </w:r>
          </w:p>
          <w:p w:rsidR="00C958B7" w:rsidRPr="001338F3" w:rsidRDefault="00C958B7" w:rsidP="001338F3">
            <w:pPr>
              <w:jc w:val="center"/>
              <w:rPr>
                <w:rFonts w:cs="Arial"/>
              </w:rPr>
            </w:pPr>
          </w:p>
          <w:p w:rsidR="008F2FB1" w:rsidRPr="001338F3" w:rsidRDefault="00C958B7" w:rsidP="0038724A">
            <w:pPr>
              <w:jc w:val="center"/>
              <w:rPr>
                <w:rFonts w:cs="Arial"/>
              </w:rPr>
            </w:pPr>
            <w:r>
              <w:rPr>
                <w:rFonts w:cs="Arial"/>
              </w:rPr>
              <w:t>Scotland - £127,260m</w:t>
            </w:r>
          </w:p>
        </w:tc>
        <w:tc>
          <w:tcPr>
            <w:tcW w:w="1923" w:type="dxa"/>
            <w:tcBorders>
              <w:top w:val="single" w:sz="4" w:space="0" w:color="auto"/>
              <w:left w:val="single" w:sz="4" w:space="0" w:color="auto"/>
              <w:bottom w:val="single" w:sz="4" w:space="0" w:color="auto"/>
              <w:right w:val="single" w:sz="4" w:space="0" w:color="auto"/>
            </w:tcBorders>
          </w:tcPr>
          <w:p w:rsidR="00C958B7" w:rsidRPr="0038724A" w:rsidRDefault="00C958B7" w:rsidP="00944F80">
            <w:pPr>
              <w:jc w:val="center"/>
              <w:rPr>
                <w:rFonts w:cs="Arial"/>
                <w:u w:val="single"/>
              </w:rPr>
            </w:pPr>
            <w:r w:rsidRPr="0038724A">
              <w:rPr>
                <w:rFonts w:cs="Arial"/>
              </w:rPr>
              <w:t>(2016)</w:t>
            </w:r>
          </w:p>
          <w:p w:rsidR="00030156" w:rsidRPr="0038724A" w:rsidRDefault="00030156" w:rsidP="00944F80">
            <w:pPr>
              <w:jc w:val="center"/>
              <w:rPr>
                <w:rFonts w:cs="Arial"/>
                <w:u w:val="single"/>
              </w:rPr>
            </w:pPr>
          </w:p>
          <w:p w:rsidR="00C958B7" w:rsidRPr="0038724A" w:rsidRDefault="00C958B7" w:rsidP="00944F80">
            <w:pPr>
              <w:jc w:val="center"/>
              <w:rPr>
                <w:rFonts w:cs="Arial"/>
                <w:u w:val="single"/>
              </w:rPr>
            </w:pPr>
            <w:r w:rsidRPr="0038724A">
              <w:rPr>
                <w:rFonts w:cs="Arial"/>
                <w:u w:val="single"/>
              </w:rPr>
              <w:t>South</w:t>
            </w:r>
          </w:p>
          <w:p w:rsidR="00C958B7" w:rsidRPr="0038724A" w:rsidRDefault="00C958B7" w:rsidP="00944F80">
            <w:pPr>
              <w:jc w:val="center"/>
              <w:rPr>
                <w:rFonts w:cs="Arial"/>
                <w:u w:val="single"/>
              </w:rPr>
            </w:pPr>
            <w:r w:rsidRPr="0038724A">
              <w:rPr>
                <w:rFonts w:cs="Arial"/>
                <w:u w:val="single"/>
              </w:rPr>
              <w:t xml:space="preserve"> Lanarkshire –</w:t>
            </w:r>
          </w:p>
          <w:p w:rsidR="00C958B7" w:rsidRPr="0038724A" w:rsidRDefault="00C958B7" w:rsidP="00944F80">
            <w:pPr>
              <w:jc w:val="center"/>
              <w:rPr>
                <w:rFonts w:cs="Arial"/>
              </w:rPr>
            </w:pPr>
            <w:r w:rsidRPr="0038724A">
              <w:rPr>
                <w:rFonts w:cs="Arial"/>
              </w:rPr>
              <w:t>£6,339m</w:t>
            </w:r>
          </w:p>
          <w:p w:rsidR="00C958B7" w:rsidRPr="0038724A" w:rsidRDefault="00C958B7" w:rsidP="00944F80">
            <w:pPr>
              <w:jc w:val="center"/>
              <w:rPr>
                <w:rFonts w:cs="Arial"/>
              </w:rPr>
            </w:pPr>
            <w:r w:rsidRPr="0038724A">
              <w:rPr>
                <w:rFonts w:cs="Arial"/>
              </w:rPr>
              <w:t>(4.71% of Scottish total)</w:t>
            </w:r>
          </w:p>
          <w:p w:rsidR="00C958B7" w:rsidRPr="0038724A" w:rsidRDefault="00C958B7" w:rsidP="00944F80">
            <w:pPr>
              <w:jc w:val="center"/>
              <w:rPr>
                <w:rFonts w:cs="Arial"/>
              </w:rPr>
            </w:pPr>
          </w:p>
          <w:p w:rsidR="00C958B7" w:rsidRPr="00FA0AC6" w:rsidRDefault="00C958B7" w:rsidP="0038724A">
            <w:pPr>
              <w:jc w:val="center"/>
              <w:rPr>
                <w:rFonts w:cs="Arial"/>
                <w:color w:val="FF0000"/>
              </w:rPr>
            </w:pPr>
            <w:r w:rsidRPr="0038724A">
              <w:rPr>
                <w:rFonts w:cs="Arial"/>
              </w:rPr>
              <w:t>Scotland - £134,455m</w:t>
            </w: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7A7526">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Increase share of Scottish GVA</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7A7526">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Increased share of Scottish GVA</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7A7526">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Maintain increased contribution to Scottish GVA by SL companies</w:t>
            </w:r>
          </w:p>
        </w:tc>
      </w:tr>
      <w:tr w:rsidR="00C958B7" w:rsidRPr="001338F3" w:rsidTr="00521C50">
        <w:trPr>
          <w:trHeight w:val="525"/>
        </w:trPr>
        <w:tc>
          <w:tcPr>
            <w:tcW w:w="3612" w:type="dxa"/>
            <w:tcBorders>
              <w:top w:val="single" w:sz="4" w:space="0" w:color="auto"/>
              <w:left w:val="single" w:sz="4" w:space="0" w:color="auto"/>
              <w:bottom w:val="single" w:sz="4" w:space="0" w:color="auto"/>
              <w:right w:val="single" w:sz="4" w:space="0" w:color="auto"/>
            </w:tcBorders>
          </w:tcPr>
          <w:p w:rsidR="00C958B7" w:rsidRPr="001338F3" w:rsidRDefault="00C958B7" w:rsidP="001338F3">
            <w:pPr>
              <w:pStyle w:val="ListBullet"/>
              <w:numPr>
                <w:ilvl w:val="0"/>
                <w:numId w:val="0"/>
              </w:numPr>
              <w:tabs>
                <w:tab w:val="left" w:pos="720"/>
              </w:tabs>
              <w:rPr>
                <w:rFonts w:ascii="Arial" w:hAnsi="Arial" w:cs="Arial"/>
                <w:sz w:val="22"/>
                <w:szCs w:val="22"/>
              </w:rPr>
            </w:pPr>
            <w:r w:rsidRPr="001338F3">
              <w:rPr>
                <w:rFonts w:ascii="Arial" w:hAnsi="Arial" w:cs="Arial"/>
                <w:b/>
                <w:sz w:val="22"/>
                <w:szCs w:val="22"/>
              </w:rPr>
              <w:t xml:space="preserve">Maintain </w:t>
            </w:r>
            <w:r w:rsidRPr="001338F3">
              <w:rPr>
                <w:rFonts w:ascii="Arial" w:hAnsi="Arial" w:cs="Arial"/>
                <w:sz w:val="22"/>
                <w:szCs w:val="22"/>
              </w:rPr>
              <w:t>Business 3 year survival rate</w:t>
            </w:r>
          </w:p>
          <w:p w:rsidR="00C958B7" w:rsidRPr="001338F3" w:rsidRDefault="00C958B7" w:rsidP="001338F3">
            <w:pPr>
              <w:pStyle w:val="ListBullet"/>
              <w:numPr>
                <w:ilvl w:val="0"/>
                <w:numId w:val="0"/>
              </w:numPr>
              <w:tabs>
                <w:tab w:val="left" w:pos="720"/>
              </w:tabs>
              <w:rPr>
                <w:rFonts w:ascii="Arial" w:hAnsi="Arial" w:cs="Arial"/>
                <w:sz w:val="22"/>
                <w:szCs w:val="22"/>
              </w:rPr>
            </w:pPr>
          </w:p>
          <w:p w:rsidR="00C958B7" w:rsidRPr="0054062B" w:rsidRDefault="00C958B7" w:rsidP="001338F3">
            <w:pPr>
              <w:pStyle w:val="ListBullet"/>
              <w:numPr>
                <w:ilvl w:val="0"/>
                <w:numId w:val="0"/>
              </w:numPr>
              <w:tabs>
                <w:tab w:val="left" w:pos="720"/>
              </w:tabs>
              <w:rPr>
                <w:rFonts w:ascii="Arial" w:hAnsi="Arial" w:cs="Arial"/>
                <w:b/>
                <w:sz w:val="22"/>
                <w:szCs w:val="22"/>
              </w:rPr>
            </w:pPr>
            <w:r w:rsidRPr="0054062B">
              <w:rPr>
                <w:rFonts w:ascii="Arial" w:hAnsi="Arial" w:cs="Arial"/>
                <w:b/>
                <w:sz w:val="22"/>
                <w:szCs w:val="22"/>
              </w:rPr>
              <w:t>Source:- Office of National Statistics (ONS)</w:t>
            </w:r>
          </w:p>
        </w:tc>
        <w:tc>
          <w:tcPr>
            <w:tcW w:w="1803" w:type="dxa"/>
            <w:tcBorders>
              <w:top w:val="single" w:sz="4" w:space="0" w:color="auto"/>
              <w:left w:val="single" w:sz="4" w:space="0" w:color="auto"/>
              <w:bottom w:val="single" w:sz="4" w:space="0" w:color="auto"/>
              <w:right w:val="single" w:sz="4" w:space="0" w:color="auto"/>
            </w:tcBorders>
          </w:tcPr>
          <w:p w:rsidR="00C958B7" w:rsidRDefault="00C958B7" w:rsidP="001338F3">
            <w:pPr>
              <w:jc w:val="center"/>
              <w:rPr>
                <w:rFonts w:cs="Arial"/>
              </w:rPr>
            </w:pPr>
            <w:r>
              <w:rPr>
                <w:rFonts w:cs="Arial"/>
              </w:rPr>
              <w:t>(2011-14)</w:t>
            </w:r>
          </w:p>
          <w:p w:rsidR="008F2FB1" w:rsidRDefault="008F2FB1" w:rsidP="001338F3">
            <w:pPr>
              <w:jc w:val="center"/>
              <w:rPr>
                <w:rFonts w:cs="Arial"/>
              </w:rPr>
            </w:pPr>
          </w:p>
          <w:p w:rsidR="00C958B7" w:rsidRPr="001338F3" w:rsidRDefault="00C958B7" w:rsidP="001338F3">
            <w:pPr>
              <w:jc w:val="center"/>
              <w:rPr>
                <w:rFonts w:cs="Arial"/>
              </w:rPr>
            </w:pPr>
            <w:r w:rsidRPr="001338F3">
              <w:rPr>
                <w:rFonts w:cs="Arial"/>
              </w:rPr>
              <w:t>South Lanarkshire -  60.7% still trading after 3 years</w:t>
            </w:r>
          </w:p>
          <w:p w:rsidR="00C958B7" w:rsidRPr="004F40B2" w:rsidRDefault="00C958B7" w:rsidP="001338F3">
            <w:pPr>
              <w:jc w:val="center"/>
              <w:rPr>
                <w:rFonts w:cs="Arial"/>
                <w:sz w:val="12"/>
                <w:szCs w:val="12"/>
              </w:rPr>
            </w:pPr>
          </w:p>
          <w:p w:rsidR="00C958B7" w:rsidRPr="001338F3" w:rsidRDefault="00C958B7" w:rsidP="001338F3">
            <w:pPr>
              <w:jc w:val="center"/>
              <w:rPr>
                <w:rFonts w:cs="Arial"/>
                <w:u w:val="single"/>
              </w:rPr>
            </w:pPr>
            <w:r w:rsidRPr="001338F3">
              <w:rPr>
                <w:rFonts w:cs="Arial"/>
              </w:rPr>
              <w:t>Scotland – 62% of businesses still trading after 3 years</w:t>
            </w:r>
          </w:p>
        </w:tc>
        <w:tc>
          <w:tcPr>
            <w:tcW w:w="1923" w:type="dxa"/>
            <w:tcBorders>
              <w:top w:val="single" w:sz="4" w:space="0" w:color="auto"/>
              <w:left w:val="single" w:sz="4" w:space="0" w:color="auto"/>
              <w:bottom w:val="single" w:sz="4" w:space="0" w:color="auto"/>
              <w:right w:val="single" w:sz="4" w:space="0" w:color="auto"/>
            </w:tcBorders>
          </w:tcPr>
          <w:p w:rsidR="00C958B7" w:rsidRPr="0038724A" w:rsidRDefault="00C958B7" w:rsidP="00944F80">
            <w:pPr>
              <w:jc w:val="center"/>
              <w:rPr>
                <w:rFonts w:cs="Arial"/>
              </w:rPr>
            </w:pPr>
            <w:r w:rsidRPr="0038724A">
              <w:rPr>
                <w:rFonts w:cs="Arial"/>
              </w:rPr>
              <w:t>(2013-16)</w:t>
            </w:r>
          </w:p>
          <w:p w:rsidR="008F2FB1" w:rsidRPr="0038724A" w:rsidRDefault="008F2FB1" w:rsidP="00944F80">
            <w:pPr>
              <w:jc w:val="center"/>
              <w:rPr>
                <w:rFonts w:cs="Arial"/>
              </w:rPr>
            </w:pPr>
          </w:p>
          <w:p w:rsidR="00C958B7" w:rsidRPr="0038724A" w:rsidRDefault="00C958B7" w:rsidP="00944F80">
            <w:pPr>
              <w:jc w:val="center"/>
              <w:rPr>
                <w:rFonts w:cs="Arial"/>
              </w:rPr>
            </w:pPr>
            <w:r w:rsidRPr="0038724A">
              <w:rPr>
                <w:rFonts w:cs="Arial"/>
              </w:rPr>
              <w:t>South Lanarkshire -  60.8% still trading after 3 years</w:t>
            </w:r>
          </w:p>
          <w:p w:rsidR="00C958B7" w:rsidRPr="0038724A" w:rsidRDefault="00C958B7" w:rsidP="00944F80">
            <w:pPr>
              <w:jc w:val="center"/>
              <w:rPr>
                <w:rFonts w:cs="Arial"/>
                <w:sz w:val="12"/>
                <w:szCs w:val="12"/>
              </w:rPr>
            </w:pPr>
          </w:p>
          <w:p w:rsidR="00C958B7" w:rsidRDefault="00C958B7" w:rsidP="00944F80">
            <w:pPr>
              <w:jc w:val="center"/>
              <w:rPr>
                <w:rFonts w:cs="Arial"/>
              </w:rPr>
            </w:pPr>
            <w:r w:rsidRPr="0038724A">
              <w:rPr>
                <w:rFonts w:cs="Arial"/>
              </w:rPr>
              <w:t>Scotland – 62.1% of businesses still</w:t>
            </w:r>
            <w:r w:rsidRPr="00FA0AC6">
              <w:rPr>
                <w:rFonts w:cs="Arial"/>
                <w:color w:val="FF0000"/>
              </w:rPr>
              <w:t xml:space="preserve"> </w:t>
            </w:r>
            <w:r w:rsidRPr="0038724A">
              <w:rPr>
                <w:rFonts w:cs="Arial"/>
              </w:rPr>
              <w:t>trading after 3 years</w:t>
            </w:r>
          </w:p>
          <w:p w:rsidR="0038724A" w:rsidRPr="00FA0AC6" w:rsidRDefault="0038724A" w:rsidP="00944F80">
            <w:pPr>
              <w:jc w:val="center"/>
              <w:rPr>
                <w:rFonts w:cs="Arial"/>
                <w:color w:val="FF0000"/>
                <w:u w:val="single"/>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7A7526">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 xml:space="preserve">Increase business 3 year survival rate to close gap between SL and Scottish </w:t>
            </w:r>
            <w:r>
              <w:rPr>
                <w:rFonts w:ascii="Arial" w:hAnsi="Arial" w:cs="Arial"/>
                <w:sz w:val="22"/>
                <w:szCs w:val="22"/>
              </w:rPr>
              <w:t>A</w:t>
            </w:r>
            <w:r w:rsidRPr="001338F3">
              <w:rPr>
                <w:rFonts w:ascii="Arial" w:hAnsi="Arial" w:cs="Arial"/>
                <w:sz w:val="22"/>
                <w:szCs w:val="22"/>
              </w:rPr>
              <w:t>verage</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7A7526">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Maintain performanc</w:t>
            </w:r>
            <w:r>
              <w:rPr>
                <w:rFonts w:ascii="Arial" w:hAnsi="Arial" w:cs="Arial"/>
                <w:sz w:val="22"/>
                <w:szCs w:val="22"/>
              </w:rPr>
              <w:t>e to, at least, match Scottish A</w:t>
            </w:r>
            <w:r w:rsidRPr="001338F3">
              <w:rPr>
                <w:rFonts w:ascii="Arial" w:hAnsi="Arial" w:cs="Arial"/>
                <w:sz w:val="22"/>
                <w:szCs w:val="22"/>
              </w:rPr>
              <w:t>verage</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7A7526">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Improve performance</w:t>
            </w:r>
            <w:r>
              <w:rPr>
                <w:rFonts w:ascii="Arial" w:hAnsi="Arial" w:cs="Arial"/>
                <w:sz w:val="22"/>
                <w:szCs w:val="22"/>
              </w:rPr>
              <w:t xml:space="preserve"> to continue to match Scottish A</w:t>
            </w:r>
            <w:r w:rsidRPr="001338F3">
              <w:rPr>
                <w:rFonts w:ascii="Arial" w:hAnsi="Arial" w:cs="Arial"/>
                <w:sz w:val="22"/>
                <w:szCs w:val="22"/>
              </w:rPr>
              <w:t>verage</w:t>
            </w:r>
          </w:p>
        </w:tc>
      </w:tr>
      <w:tr w:rsidR="00C958B7" w:rsidRPr="001338F3" w:rsidTr="00521C50">
        <w:trPr>
          <w:trHeight w:val="274"/>
        </w:trPr>
        <w:tc>
          <w:tcPr>
            <w:tcW w:w="3612" w:type="dxa"/>
            <w:tcBorders>
              <w:top w:val="single" w:sz="4" w:space="0" w:color="auto"/>
              <w:left w:val="single" w:sz="4" w:space="0" w:color="auto"/>
              <w:bottom w:val="single" w:sz="4" w:space="0" w:color="auto"/>
              <w:right w:val="single" w:sz="4" w:space="0" w:color="auto"/>
            </w:tcBorders>
          </w:tcPr>
          <w:p w:rsidR="00C958B7" w:rsidRPr="001338F3" w:rsidRDefault="00C958B7" w:rsidP="001338F3">
            <w:pPr>
              <w:pStyle w:val="ListBullet"/>
              <w:numPr>
                <w:ilvl w:val="0"/>
                <w:numId w:val="0"/>
              </w:numPr>
              <w:tabs>
                <w:tab w:val="left" w:pos="720"/>
              </w:tabs>
              <w:rPr>
                <w:rFonts w:ascii="Arial" w:hAnsi="Arial" w:cs="Arial"/>
                <w:sz w:val="22"/>
                <w:szCs w:val="22"/>
              </w:rPr>
            </w:pPr>
            <w:r w:rsidRPr="001338F3">
              <w:rPr>
                <w:rFonts w:ascii="Arial" w:hAnsi="Arial" w:cs="Arial"/>
                <w:b/>
                <w:sz w:val="22"/>
                <w:szCs w:val="22"/>
              </w:rPr>
              <w:t xml:space="preserve">Increase </w:t>
            </w:r>
            <w:r>
              <w:rPr>
                <w:rFonts w:ascii="Arial" w:hAnsi="Arial" w:cs="Arial"/>
                <w:sz w:val="22"/>
                <w:szCs w:val="22"/>
              </w:rPr>
              <w:t>Business spending on Research and D</w:t>
            </w:r>
            <w:r w:rsidRPr="001338F3">
              <w:rPr>
                <w:rFonts w:ascii="Arial" w:hAnsi="Arial" w:cs="Arial"/>
                <w:sz w:val="22"/>
                <w:szCs w:val="22"/>
              </w:rPr>
              <w:t>evelopment</w:t>
            </w:r>
          </w:p>
          <w:p w:rsidR="00C958B7" w:rsidRPr="001338F3" w:rsidRDefault="00C958B7" w:rsidP="001338F3">
            <w:pPr>
              <w:pStyle w:val="ListBullet"/>
              <w:numPr>
                <w:ilvl w:val="0"/>
                <w:numId w:val="0"/>
              </w:numPr>
              <w:tabs>
                <w:tab w:val="left" w:pos="720"/>
              </w:tabs>
              <w:rPr>
                <w:rFonts w:ascii="Arial" w:hAnsi="Arial" w:cs="Arial"/>
                <w:sz w:val="22"/>
                <w:szCs w:val="22"/>
              </w:rPr>
            </w:pPr>
          </w:p>
          <w:p w:rsidR="00C958B7" w:rsidRPr="007A7526" w:rsidRDefault="00C958B7" w:rsidP="001338F3">
            <w:pPr>
              <w:pStyle w:val="ListBullet"/>
              <w:numPr>
                <w:ilvl w:val="0"/>
                <w:numId w:val="0"/>
              </w:numPr>
              <w:tabs>
                <w:tab w:val="left" w:pos="720"/>
              </w:tabs>
              <w:rPr>
                <w:rFonts w:ascii="Arial" w:hAnsi="Arial" w:cs="Arial"/>
                <w:b/>
                <w:sz w:val="22"/>
                <w:szCs w:val="22"/>
              </w:rPr>
            </w:pPr>
            <w:r w:rsidRPr="007A7526">
              <w:rPr>
                <w:rFonts w:ascii="Arial" w:hAnsi="Arial" w:cs="Arial"/>
                <w:b/>
                <w:sz w:val="22"/>
                <w:szCs w:val="22"/>
              </w:rPr>
              <w:t>Source:- Scottish Government Annual Business Statistics (based on ONS)</w:t>
            </w:r>
          </w:p>
        </w:tc>
        <w:tc>
          <w:tcPr>
            <w:tcW w:w="1803" w:type="dxa"/>
            <w:tcBorders>
              <w:top w:val="single" w:sz="4" w:space="0" w:color="auto"/>
              <w:left w:val="single" w:sz="4" w:space="0" w:color="auto"/>
              <w:bottom w:val="single" w:sz="4" w:space="0" w:color="auto"/>
              <w:right w:val="single" w:sz="4" w:space="0" w:color="auto"/>
            </w:tcBorders>
          </w:tcPr>
          <w:p w:rsidR="00C958B7" w:rsidRDefault="00C958B7" w:rsidP="001338F3">
            <w:pPr>
              <w:jc w:val="center"/>
              <w:rPr>
                <w:rFonts w:cs="Arial"/>
              </w:rPr>
            </w:pPr>
            <w:r>
              <w:rPr>
                <w:rFonts w:cs="Arial"/>
              </w:rPr>
              <w:t>(</w:t>
            </w:r>
            <w:r w:rsidRPr="004F40B2">
              <w:rPr>
                <w:rFonts w:cs="Arial"/>
              </w:rPr>
              <w:t>2015</w:t>
            </w:r>
            <w:r>
              <w:rPr>
                <w:rFonts w:cs="Arial"/>
              </w:rPr>
              <w:t>)</w:t>
            </w:r>
          </w:p>
          <w:p w:rsidR="0038724A" w:rsidRPr="004F40B2" w:rsidRDefault="0038724A" w:rsidP="001338F3">
            <w:pPr>
              <w:jc w:val="center"/>
              <w:rPr>
                <w:rFonts w:cs="Arial"/>
              </w:rPr>
            </w:pPr>
          </w:p>
          <w:p w:rsidR="00C958B7" w:rsidRPr="001338F3" w:rsidRDefault="00C958B7" w:rsidP="001338F3">
            <w:pPr>
              <w:jc w:val="center"/>
              <w:rPr>
                <w:rFonts w:cs="Arial"/>
                <w:u w:val="single"/>
              </w:rPr>
            </w:pPr>
            <w:r w:rsidRPr="001338F3">
              <w:rPr>
                <w:rFonts w:cs="Arial"/>
              </w:rPr>
              <w:t>South Lanarkshire £18.677m</w:t>
            </w:r>
          </w:p>
        </w:tc>
        <w:tc>
          <w:tcPr>
            <w:tcW w:w="1923" w:type="dxa"/>
            <w:tcBorders>
              <w:top w:val="single" w:sz="4" w:space="0" w:color="auto"/>
              <w:left w:val="single" w:sz="4" w:space="0" w:color="auto"/>
              <w:bottom w:val="single" w:sz="4" w:space="0" w:color="auto"/>
              <w:right w:val="single" w:sz="4" w:space="0" w:color="auto"/>
            </w:tcBorders>
          </w:tcPr>
          <w:p w:rsidR="00C958B7" w:rsidRPr="0038724A" w:rsidRDefault="00C958B7" w:rsidP="00944F80">
            <w:pPr>
              <w:jc w:val="center"/>
              <w:rPr>
                <w:rFonts w:cs="Arial"/>
              </w:rPr>
            </w:pPr>
            <w:r w:rsidRPr="0038724A">
              <w:rPr>
                <w:rFonts w:cs="Arial"/>
              </w:rPr>
              <w:t>(2016)</w:t>
            </w:r>
          </w:p>
          <w:p w:rsidR="0038724A" w:rsidRPr="0038724A" w:rsidRDefault="0038724A" w:rsidP="00944F80">
            <w:pPr>
              <w:jc w:val="center"/>
              <w:rPr>
                <w:rFonts w:cs="Arial"/>
              </w:rPr>
            </w:pPr>
          </w:p>
          <w:p w:rsidR="00C958B7" w:rsidRPr="001338F3" w:rsidRDefault="00C958B7" w:rsidP="00944F80">
            <w:pPr>
              <w:jc w:val="center"/>
              <w:rPr>
                <w:rFonts w:cs="Arial"/>
                <w:u w:val="single"/>
              </w:rPr>
            </w:pPr>
            <w:r w:rsidRPr="0038724A">
              <w:rPr>
                <w:rFonts w:cs="Arial"/>
              </w:rPr>
              <w:t>South Lanarkshire £29.581m</w:t>
            </w: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FB18C2">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Increase level of business support, including spending on R&amp;D and innovation</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FB18C2">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Increased level of business support, including spending on R&amp;D and innovation</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787BFA" w:rsidRDefault="00C958B7" w:rsidP="00FB18C2">
            <w:pPr>
              <w:pStyle w:val="ListBullet"/>
              <w:numPr>
                <w:ilvl w:val="0"/>
                <w:numId w:val="0"/>
              </w:numPr>
              <w:tabs>
                <w:tab w:val="left" w:pos="720"/>
              </w:tabs>
              <w:jc w:val="center"/>
              <w:rPr>
                <w:rFonts w:ascii="Arial" w:hAnsi="Arial" w:cs="Arial"/>
                <w:sz w:val="22"/>
                <w:szCs w:val="22"/>
              </w:rPr>
            </w:pPr>
            <w:r w:rsidRPr="00787BFA">
              <w:rPr>
                <w:rFonts w:ascii="Arial" w:hAnsi="Arial" w:cs="Arial"/>
                <w:sz w:val="22"/>
                <w:szCs w:val="22"/>
              </w:rPr>
              <w:t>Increased level of business support, particularly spending on R&amp;D and innovation</w:t>
            </w:r>
          </w:p>
        </w:tc>
      </w:tr>
      <w:tr w:rsidR="00C958B7" w:rsidRPr="001338F3" w:rsidTr="00521C50">
        <w:trPr>
          <w:trHeight w:val="525"/>
        </w:trPr>
        <w:tc>
          <w:tcPr>
            <w:tcW w:w="3612"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1338F3">
            <w:pPr>
              <w:pStyle w:val="ListBullet"/>
              <w:numPr>
                <w:ilvl w:val="0"/>
                <w:numId w:val="0"/>
              </w:numPr>
              <w:tabs>
                <w:tab w:val="left" w:pos="720"/>
              </w:tabs>
              <w:rPr>
                <w:rFonts w:ascii="Arial" w:hAnsi="Arial" w:cs="Arial"/>
                <w:b/>
                <w:sz w:val="22"/>
                <w:szCs w:val="22"/>
              </w:rPr>
            </w:pPr>
            <w:r>
              <w:rPr>
                <w:rFonts w:ascii="Arial" w:hAnsi="Arial" w:cs="Arial"/>
                <w:b/>
                <w:sz w:val="22"/>
                <w:szCs w:val="22"/>
              </w:rPr>
              <w:t xml:space="preserve">Increase </w:t>
            </w:r>
            <w:r w:rsidRPr="00CE1119">
              <w:rPr>
                <w:rFonts w:ascii="Arial" w:hAnsi="Arial" w:cs="Arial"/>
                <w:sz w:val="22"/>
                <w:szCs w:val="22"/>
              </w:rPr>
              <w:t>Business Start ups</w:t>
            </w:r>
          </w:p>
          <w:p w:rsidR="00C958B7" w:rsidRDefault="00C958B7" w:rsidP="001338F3">
            <w:pPr>
              <w:pStyle w:val="ListBullet"/>
              <w:numPr>
                <w:ilvl w:val="0"/>
                <w:numId w:val="0"/>
              </w:numPr>
              <w:tabs>
                <w:tab w:val="left" w:pos="720"/>
              </w:tabs>
              <w:rPr>
                <w:rFonts w:ascii="Arial" w:hAnsi="Arial" w:cs="Arial"/>
                <w:sz w:val="22"/>
                <w:szCs w:val="22"/>
              </w:rPr>
            </w:pPr>
            <w:r>
              <w:rPr>
                <w:rFonts w:ascii="Arial" w:hAnsi="Arial" w:cs="Arial"/>
                <w:sz w:val="22"/>
                <w:szCs w:val="22"/>
              </w:rPr>
              <w:t>n</w:t>
            </w:r>
            <w:r w:rsidRPr="001338F3">
              <w:rPr>
                <w:rFonts w:ascii="Arial" w:hAnsi="Arial" w:cs="Arial"/>
                <w:sz w:val="22"/>
                <w:szCs w:val="22"/>
              </w:rPr>
              <w:t>umber of new business registrations</w:t>
            </w:r>
          </w:p>
          <w:p w:rsidR="00C958B7" w:rsidRPr="001338F3" w:rsidRDefault="00C958B7" w:rsidP="001338F3">
            <w:pPr>
              <w:pStyle w:val="ListBullet"/>
              <w:numPr>
                <w:ilvl w:val="0"/>
                <w:numId w:val="0"/>
              </w:numPr>
              <w:tabs>
                <w:tab w:val="left" w:pos="720"/>
              </w:tabs>
              <w:rPr>
                <w:rFonts w:ascii="Arial" w:hAnsi="Arial" w:cs="Arial"/>
                <w:sz w:val="22"/>
                <w:szCs w:val="22"/>
              </w:rPr>
            </w:pPr>
          </w:p>
          <w:p w:rsidR="00C958B7" w:rsidRPr="007A7526" w:rsidRDefault="00C958B7" w:rsidP="007A7526">
            <w:pPr>
              <w:pStyle w:val="ListBullet"/>
              <w:numPr>
                <w:ilvl w:val="0"/>
                <w:numId w:val="0"/>
              </w:numPr>
              <w:tabs>
                <w:tab w:val="left" w:pos="720"/>
              </w:tabs>
              <w:rPr>
                <w:rFonts w:ascii="Arial" w:hAnsi="Arial" w:cs="Arial"/>
                <w:b/>
                <w:sz w:val="22"/>
                <w:szCs w:val="22"/>
              </w:rPr>
            </w:pPr>
            <w:r w:rsidRPr="007A7526">
              <w:rPr>
                <w:rFonts w:ascii="Arial" w:hAnsi="Arial" w:cs="Arial"/>
                <w:b/>
                <w:sz w:val="22"/>
                <w:szCs w:val="22"/>
              </w:rPr>
              <w:t>Source:- Scottish Government Annual Business Statistics (based on ONS)</w:t>
            </w:r>
          </w:p>
        </w:tc>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Default="00C958B7" w:rsidP="001338F3">
            <w:pPr>
              <w:jc w:val="center"/>
              <w:rPr>
                <w:rFonts w:cs="Arial"/>
              </w:rPr>
            </w:pPr>
            <w:r>
              <w:rPr>
                <w:rFonts w:cs="Arial"/>
              </w:rPr>
              <w:t>(</w:t>
            </w:r>
            <w:r w:rsidRPr="004F40B2">
              <w:rPr>
                <w:rFonts w:cs="Arial"/>
              </w:rPr>
              <w:t>2015</w:t>
            </w:r>
            <w:r>
              <w:rPr>
                <w:rFonts w:cs="Arial"/>
              </w:rPr>
              <w:t>)</w:t>
            </w:r>
          </w:p>
          <w:p w:rsidR="0038724A" w:rsidRPr="004F40B2" w:rsidRDefault="0038724A" w:rsidP="001338F3">
            <w:pPr>
              <w:jc w:val="center"/>
              <w:rPr>
                <w:rFonts w:cs="Arial"/>
              </w:rPr>
            </w:pPr>
          </w:p>
          <w:p w:rsidR="00C958B7" w:rsidRPr="001338F3" w:rsidRDefault="00C958B7" w:rsidP="001338F3">
            <w:pPr>
              <w:jc w:val="center"/>
              <w:rPr>
                <w:rFonts w:cs="Arial"/>
                <w:u w:val="single"/>
              </w:rPr>
            </w:pPr>
            <w:r w:rsidRPr="001338F3">
              <w:rPr>
                <w:rFonts w:cs="Arial"/>
              </w:rPr>
              <w:t>1,260 new businesses registered</w:t>
            </w: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38724A" w:rsidRDefault="00C958B7" w:rsidP="00944F80">
            <w:pPr>
              <w:jc w:val="center"/>
              <w:rPr>
                <w:rFonts w:cs="Arial"/>
              </w:rPr>
            </w:pPr>
            <w:r w:rsidRPr="0038724A">
              <w:rPr>
                <w:rFonts w:cs="Arial"/>
              </w:rPr>
              <w:t>(2016)</w:t>
            </w:r>
          </w:p>
          <w:p w:rsidR="0038724A" w:rsidRPr="0038724A" w:rsidRDefault="0038724A" w:rsidP="00944F80">
            <w:pPr>
              <w:jc w:val="center"/>
              <w:rPr>
                <w:rFonts w:cs="Arial"/>
              </w:rPr>
            </w:pPr>
          </w:p>
          <w:p w:rsidR="00C958B7" w:rsidRPr="001338F3" w:rsidRDefault="00C958B7" w:rsidP="00944F80">
            <w:pPr>
              <w:jc w:val="center"/>
              <w:rPr>
                <w:rFonts w:cs="Arial"/>
              </w:rPr>
            </w:pPr>
            <w:r w:rsidRPr="0038724A">
              <w:rPr>
                <w:rFonts w:cs="Arial"/>
              </w:rPr>
              <w:t>1,240 new businesses registered</w:t>
            </w: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484721">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Increase numbers of new business registrations</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1338F3">
            <w:pPr>
              <w:pStyle w:val="ListBullet"/>
              <w:numPr>
                <w:ilvl w:val="0"/>
                <w:numId w:val="0"/>
              </w:numPr>
              <w:tabs>
                <w:tab w:val="left" w:pos="720"/>
              </w:tabs>
              <w:rPr>
                <w:rFonts w:ascii="Arial" w:hAnsi="Arial" w:cs="Arial"/>
                <w:sz w:val="22"/>
                <w:szCs w:val="22"/>
              </w:rPr>
            </w:pPr>
            <w:r w:rsidRPr="001338F3">
              <w:rPr>
                <w:rFonts w:ascii="Arial" w:hAnsi="Arial" w:cs="Arial"/>
                <w:sz w:val="22"/>
                <w:szCs w:val="22"/>
              </w:rPr>
              <w:t xml:space="preserve">Increase numbers of new start businesses  </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1338F3">
            <w:pPr>
              <w:pStyle w:val="ListBullet"/>
              <w:numPr>
                <w:ilvl w:val="0"/>
                <w:numId w:val="0"/>
              </w:numPr>
              <w:tabs>
                <w:tab w:val="left" w:pos="720"/>
              </w:tabs>
              <w:rPr>
                <w:rFonts w:ascii="Arial" w:hAnsi="Arial" w:cs="Arial"/>
                <w:sz w:val="22"/>
                <w:szCs w:val="22"/>
              </w:rPr>
            </w:pPr>
            <w:r w:rsidRPr="001338F3">
              <w:rPr>
                <w:rFonts w:ascii="Arial" w:hAnsi="Arial" w:cs="Arial"/>
                <w:sz w:val="22"/>
                <w:szCs w:val="22"/>
              </w:rPr>
              <w:t xml:space="preserve">Increase numbers of new start businesses </w:t>
            </w:r>
          </w:p>
        </w:tc>
      </w:tr>
    </w:tbl>
    <w:p w:rsidR="006F2179" w:rsidRDefault="006F2179">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103"/>
        <w:gridCol w:w="1417"/>
        <w:gridCol w:w="1843"/>
        <w:gridCol w:w="1134"/>
      </w:tblGrid>
      <w:tr w:rsidR="00384CF6" w:rsidRPr="001338F3" w:rsidTr="00521C50">
        <w:trPr>
          <w:trHeight w:val="361"/>
        </w:trPr>
        <w:tc>
          <w:tcPr>
            <w:tcW w:w="1442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4CF6" w:rsidRPr="001338F3" w:rsidRDefault="00384CF6" w:rsidP="004F40B2">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We will take the following actions to achieve the outcome above</w:t>
            </w:r>
          </w:p>
        </w:tc>
      </w:tr>
      <w:tr w:rsidR="00914A9C" w:rsidRPr="001338F3" w:rsidTr="00521C50">
        <w:trPr>
          <w:trHeight w:val="372"/>
        </w:trPr>
        <w:tc>
          <w:tcPr>
            <w:tcW w:w="49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84CF6" w:rsidRPr="001338F3" w:rsidRDefault="00384CF6" w:rsidP="002E0D59">
            <w:pPr>
              <w:rPr>
                <w:rFonts w:cs="Arial"/>
                <w:b/>
              </w:rPr>
            </w:pPr>
            <w:r w:rsidRPr="001338F3">
              <w:rPr>
                <w:rFonts w:cs="Arial"/>
                <w:b/>
              </w:rPr>
              <w:t>Change Required</w:t>
            </w:r>
          </w:p>
        </w:tc>
        <w:tc>
          <w:tcPr>
            <w:tcW w:w="510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84CF6" w:rsidRPr="001338F3" w:rsidRDefault="00384CF6" w:rsidP="002E0D59">
            <w:pPr>
              <w:rPr>
                <w:rFonts w:cs="Arial"/>
                <w:b/>
              </w:rPr>
            </w:pPr>
            <w:r w:rsidRPr="001338F3">
              <w:rPr>
                <w:rFonts w:cs="Arial"/>
                <w:b/>
              </w:rPr>
              <w:t>Action to achieve change ( including outcome measures and targets)</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84CF6" w:rsidRPr="001338F3" w:rsidRDefault="00384CF6" w:rsidP="002E0D59">
            <w:pPr>
              <w:rPr>
                <w:rFonts w:cs="Arial"/>
                <w:b/>
              </w:rPr>
            </w:pPr>
            <w:r w:rsidRPr="001338F3">
              <w:rPr>
                <w:rFonts w:cs="Arial"/>
                <w:b/>
              </w:rPr>
              <w:t>Timescale</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4CF6" w:rsidRPr="001338F3" w:rsidRDefault="00384CF6" w:rsidP="002E0D59">
            <w:pPr>
              <w:rPr>
                <w:rFonts w:cs="Arial"/>
                <w:b/>
              </w:rPr>
            </w:pPr>
            <w:r w:rsidRPr="001338F3">
              <w:rPr>
                <w:rFonts w:cs="Arial"/>
                <w:b/>
              </w:rPr>
              <w:t>Responsibility</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84CF6" w:rsidRPr="001338F3" w:rsidRDefault="00384CF6" w:rsidP="002E0D59">
            <w:pPr>
              <w:rPr>
                <w:rFonts w:cs="Arial"/>
                <w:b/>
              </w:rPr>
            </w:pPr>
            <w:r>
              <w:rPr>
                <w:rFonts w:cs="Arial"/>
                <w:b/>
              </w:rPr>
              <w:t>Poverty Focus</w:t>
            </w:r>
          </w:p>
        </w:tc>
      </w:tr>
      <w:tr w:rsidR="002B0A63"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2B0A63" w:rsidRDefault="002B0A63" w:rsidP="002B0A63">
            <w:pPr>
              <w:pStyle w:val="ListParagraph"/>
              <w:numPr>
                <w:ilvl w:val="0"/>
                <w:numId w:val="10"/>
              </w:numPr>
              <w:tabs>
                <w:tab w:val="num" w:pos="1671"/>
              </w:tabs>
              <w:ind w:left="284" w:hanging="284"/>
              <w:rPr>
                <w:rFonts w:cs="Arial"/>
              </w:rPr>
            </w:pPr>
            <w:r w:rsidRPr="001338F3">
              <w:rPr>
                <w:rFonts w:cs="Arial"/>
              </w:rPr>
              <w:t>Increased engagement with companies asso</w:t>
            </w:r>
            <w:r>
              <w:rPr>
                <w:rFonts w:cs="Arial"/>
              </w:rPr>
              <w:t>ciated with priority localities</w:t>
            </w:r>
          </w:p>
          <w:p w:rsidR="002B0A63" w:rsidRPr="001338F3" w:rsidRDefault="002B0A63" w:rsidP="002B0A63">
            <w:pPr>
              <w:pStyle w:val="ListParagraph"/>
              <w:ind w:left="284"/>
              <w:rPr>
                <w:rFonts w:cs="Arial"/>
              </w:rPr>
            </w:pPr>
          </w:p>
        </w:tc>
        <w:tc>
          <w:tcPr>
            <w:tcW w:w="5103" w:type="dxa"/>
            <w:tcBorders>
              <w:top w:val="single" w:sz="4" w:space="0" w:color="auto"/>
              <w:left w:val="single" w:sz="4" w:space="0" w:color="auto"/>
              <w:bottom w:val="single" w:sz="4" w:space="0" w:color="auto"/>
              <w:right w:val="single" w:sz="4" w:space="0" w:color="auto"/>
            </w:tcBorders>
          </w:tcPr>
          <w:p w:rsidR="002B0A63" w:rsidRPr="002C7441" w:rsidRDefault="002B0A63" w:rsidP="002B0A63">
            <w:pPr>
              <w:pStyle w:val="ListParagraph"/>
              <w:numPr>
                <w:ilvl w:val="0"/>
                <w:numId w:val="10"/>
              </w:numPr>
              <w:tabs>
                <w:tab w:val="num" w:pos="1671"/>
              </w:tabs>
              <w:ind w:left="317" w:hanging="317"/>
              <w:rPr>
                <w:rFonts w:cs="Arial"/>
              </w:rPr>
            </w:pPr>
            <w:r w:rsidRPr="002C7441">
              <w:rPr>
                <w:rFonts w:cs="Arial"/>
              </w:rPr>
              <w:t xml:space="preserve">Coordinated approach to promotion, marketing and delivery of </w:t>
            </w:r>
            <w:r>
              <w:rPr>
                <w:rFonts w:cs="Arial"/>
              </w:rPr>
              <w:t xml:space="preserve">a </w:t>
            </w:r>
            <w:r w:rsidRPr="002C7441">
              <w:rPr>
                <w:rFonts w:cs="Arial"/>
              </w:rPr>
              <w:t>range of business support and events across partners</w:t>
            </w:r>
          </w:p>
        </w:tc>
        <w:tc>
          <w:tcPr>
            <w:tcW w:w="1417" w:type="dxa"/>
            <w:vMerge w:val="restart"/>
            <w:tcBorders>
              <w:top w:val="single" w:sz="4" w:space="0" w:color="auto"/>
              <w:left w:val="single" w:sz="4" w:space="0" w:color="auto"/>
              <w:right w:val="single" w:sz="4" w:space="0" w:color="auto"/>
            </w:tcBorders>
          </w:tcPr>
          <w:p w:rsidR="002B0A63" w:rsidRDefault="002B0A63" w:rsidP="00914A9C">
            <w:pPr>
              <w:tabs>
                <w:tab w:val="num" w:pos="1671"/>
              </w:tabs>
              <w:rPr>
                <w:rFonts w:cs="Arial"/>
                <w:color w:val="000000" w:themeColor="text1"/>
              </w:rPr>
            </w:pPr>
            <w:r w:rsidRPr="00914A9C">
              <w:rPr>
                <w:rFonts w:cs="Arial"/>
                <w:color w:val="000000" w:themeColor="text1"/>
              </w:rPr>
              <w:t>March 2019</w:t>
            </w: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Default="002F2225" w:rsidP="00914A9C">
            <w:pPr>
              <w:tabs>
                <w:tab w:val="num" w:pos="1671"/>
              </w:tabs>
              <w:rPr>
                <w:rFonts w:cs="Arial"/>
                <w:color w:val="000000" w:themeColor="text1"/>
              </w:rPr>
            </w:pPr>
          </w:p>
          <w:p w:rsidR="002F2225" w:rsidRPr="00914A9C" w:rsidRDefault="002F2225" w:rsidP="00914A9C">
            <w:pPr>
              <w:tabs>
                <w:tab w:val="num" w:pos="1671"/>
              </w:tabs>
              <w:rPr>
                <w:rFonts w:cs="Arial"/>
                <w:color w:val="000000" w:themeColor="text1"/>
              </w:rPr>
            </w:pPr>
            <w:r w:rsidRPr="00914A9C">
              <w:rPr>
                <w:rFonts w:cs="Arial"/>
                <w:color w:val="000000" w:themeColor="text1"/>
              </w:rPr>
              <w:t>March 2019</w:t>
            </w:r>
          </w:p>
        </w:tc>
        <w:tc>
          <w:tcPr>
            <w:tcW w:w="1843" w:type="dxa"/>
            <w:vMerge w:val="restart"/>
            <w:tcBorders>
              <w:top w:val="single" w:sz="4" w:space="0" w:color="auto"/>
              <w:left w:val="single" w:sz="4" w:space="0" w:color="auto"/>
              <w:right w:val="single" w:sz="4" w:space="0" w:color="auto"/>
            </w:tcBorders>
          </w:tcPr>
          <w:p w:rsidR="002B0A63" w:rsidRPr="001338F3" w:rsidRDefault="002B0A63" w:rsidP="002B0A63">
            <w:pPr>
              <w:tabs>
                <w:tab w:val="num" w:pos="1671"/>
              </w:tabs>
              <w:jc w:val="center"/>
              <w:rPr>
                <w:rFonts w:cs="Arial"/>
              </w:rPr>
            </w:pPr>
            <w:r w:rsidRPr="001338F3">
              <w:rPr>
                <w:rFonts w:cs="Arial"/>
              </w:rPr>
              <w:t>Scottish Enterprise</w:t>
            </w:r>
          </w:p>
          <w:p w:rsidR="002B0A63" w:rsidRPr="001338F3" w:rsidRDefault="002B0A63" w:rsidP="002B0A63">
            <w:pPr>
              <w:tabs>
                <w:tab w:val="num" w:pos="1671"/>
              </w:tabs>
              <w:jc w:val="center"/>
              <w:rPr>
                <w:rFonts w:cs="Arial"/>
              </w:rPr>
            </w:pPr>
          </w:p>
          <w:p w:rsidR="002B0A63" w:rsidRDefault="002B0A63" w:rsidP="002B0A63">
            <w:pPr>
              <w:tabs>
                <w:tab w:val="num" w:pos="1671"/>
              </w:tabs>
              <w:jc w:val="center"/>
              <w:rPr>
                <w:rFonts w:cs="Arial"/>
              </w:rPr>
            </w:pPr>
            <w:r w:rsidRPr="001338F3">
              <w:rPr>
                <w:rFonts w:cs="Arial"/>
              </w:rPr>
              <w:t>SLC Community and Enterprise</w:t>
            </w:r>
          </w:p>
          <w:p w:rsidR="002B0A63" w:rsidRDefault="002B0A63" w:rsidP="009F2585">
            <w:pPr>
              <w:tabs>
                <w:tab w:val="num" w:pos="1671"/>
              </w:tabs>
              <w:jc w:val="center"/>
              <w:rPr>
                <w:rFonts w:cs="Arial"/>
              </w:rPr>
            </w:pPr>
          </w:p>
          <w:p w:rsidR="002B0A63" w:rsidRDefault="002B0A63"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Default="002F2225" w:rsidP="009F2585">
            <w:pPr>
              <w:tabs>
                <w:tab w:val="num" w:pos="1671"/>
              </w:tabs>
              <w:jc w:val="center"/>
              <w:rPr>
                <w:rFonts w:cs="Arial"/>
              </w:rPr>
            </w:pPr>
          </w:p>
          <w:p w:rsidR="002F2225" w:rsidRPr="001338F3" w:rsidRDefault="002F2225" w:rsidP="002F2225">
            <w:pPr>
              <w:tabs>
                <w:tab w:val="num" w:pos="1671"/>
              </w:tabs>
              <w:jc w:val="center"/>
              <w:rPr>
                <w:rFonts w:cs="Arial"/>
              </w:rPr>
            </w:pPr>
            <w:r w:rsidRPr="001338F3">
              <w:rPr>
                <w:rFonts w:cs="Arial"/>
              </w:rPr>
              <w:t>Scottish Enterprise</w:t>
            </w:r>
          </w:p>
          <w:p w:rsidR="002F2225" w:rsidRPr="001338F3" w:rsidRDefault="002F2225" w:rsidP="002F2225">
            <w:pPr>
              <w:tabs>
                <w:tab w:val="num" w:pos="1671"/>
              </w:tabs>
              <w:jc w:val="center"/>
              <w:rPr>
                <w:rFonts w:cs="Arial"/>
              </w:rPr>
            </w:pPr>
          </w:p>
          <w:p w:rsidR="002F2225" w:rsidRDefault="002F2225" w:rsidP="002F2225">
            <w:pPr>
              <w:tabs>
                <w:tab w:val="num" w:pos="1671"/>
              </w:tabs>
              <w:jc w:val="center"/>
              <w:rPr>
                <w:rFonts w:cs="Arial"/>
              </w:rPr>
            </w:pPr>
            <w:r w:rsidRPr="001338F3">
              <w:rPr>
                <w:rFonts w:cs="Arial"/>
              </w:rPr>
              <w:t>SLC Community and Enterprise</w:t>
            </w:r>
          </w:p>
          <w:p w:rsidR="002F2225" w:rsidRDefault="002F2225" w:rsidP="009F2585">
            <w:pPr>
              <w:tabs>
                <w:tab w:val="num" w:pos="1671"/>
              </w:tabs>
              <w:jc w:val="center"/>
              <w:rPr>
                <w:rFonts w:cs="Arial"/>
              </w:rPr>
            </w:pPr>
          </w:p>
          <w:p w:rsidR="002F2225" w:rsidRPr="001338F3" w:rsidRDefault="002F2225" w:rsidP="009F2585">
            <w:pPr>
              <w:tabs>
                <w:tab w:val="num" w:pos="1671"/>
              </w:tabs>
              <w:jc w:val="center"/>
              <w:rPr>
                <w:rFonts w:cs="Arial"/>
              </w:rPr>
            </w:pPr>
          </w:p>
        </w:tc>
        <w:tc>
          <w:tcPr>
            <w:tcW w:w="1134" w:type="dxa"/>
            <w:vMerge w:val="restart"/>
            <w:tcBorders>
              <w:top w:val="single" w:sz="4" w:space="0" w:color="auto"/>
              <w:left w:val="single" w:sz="4" w:space="0" w:color="auto"/>
              <w:right w:val="single" w:sz="4" w:space="0" w:color="auto"/>
            </w:tcBorders>
          </w:tcPr>
          <w:p w:rsidR="002B0A63" w:rsidRDefault="002B0A63" w:rsidP="00617F9C">
            <w:pPr>
              <w:tabs>
                <w:tab w:val="num" w:pos="1671"/>
              </w:tabs>
              <w:jc w:val="center"/>
              <w:rPr>
                <w:rFonts w:cs="Arial"/>
              </w:rPr>
            </w:pPr>
            <w:r w:rsidRPr="00F02DE2">
              <w:rPr>
                <w:rFonts w:cs="Arial"/>
              </w:rPr>
              <w:t>2</w:t>
            </w: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Default="002F2225" w:rsidP="00617F9C">
            <w:pPr>
              <w:tabs>
                <w:tab w:val="num" w:pos="1671"/>
              </w:tabs>
              <w:jc w:val="center"/>
              <w:rPr>
                <w:rFonts w:cs="Arial"/>
              </w:rPr>
            </w:pPr>
          </w:p>
          <w:p w:rsidR="002F2225" w:rsidRPr="00F02DE2" w:rsidRDefault="002F2225" w:rsidP="00617F9C">
            <w:pPr>
              <w:tabs>
                <w:tab w:val="num" w:pos="1671"/>
              </w:tabs>
              <w:jc w:val="center"/>
              <w:rPr>
                <w:rFonts w:cs="Arial"/>
              </w:rPr>
            </w:pPr>
            <w:r>
              <w:rPr>
                <w:rFonts w:cs="Arial"/>
              </w:rPr>
              <w:t>2</w:t>
            </w:r>
          </w:p>
        </w:tc>
      </w:tr>
      <w:tr w:rsidR="002B0A63"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2B0A63" w:rsidRDefault="002B0A63" w:rsidP="002B0A63">
            <w:pPr>
              <w:pStyle w:val="ListParagraph"/>
              <w:numPr>
                <w:ilvl w:val="0"/>
                <w:numId w:val="10"/>
              </w:numPr>
              <w:tabs>
                <w:tab w:val="num" w:pos="1671"/>
              </w:tabs>
              <w:ind w:left="284" w:hanging="284"/>
              <w:rPr>
                <w:rFonts w:cs="Arial"/>
              </w:rPr>
            </w:pPr>
            <w:r w:rsidRPr="001338F3">
              <w:rPr>
                <w:rFonts w:cs="Arial"/>
              </w:rPr>
              <w:t>Increased growth in innovation, investment, internationalisation, turnover, employment by South Lanarkshire companies</w:t>
            </w:r>
          </w:p>
          <w:p w:rsidR="002B0A63" w:rsidRPr="001338F3" w:rsidRDefault="002B0A63" w:rsidP="002B0A63">
            <w:pPr>
              <w:pStyle w:val="ListParagraph"/>
              <w:ind w:left="284"/>
              <w:rPr>
                <w:rFonts w:cs="Arial"/>
              </w:rPr>
            </w:pPr>
          </w:p>
        </w:tc>
        <w:tc>
          <w:tcPr>
            <w:tcW w:w="5103" w:type="dxa"/>
            <w:tcBorders>
              <w:top w:val="single" w:sz="4" w:space="0" w:color="auto"/>
              <w:left w:val="single" w:sz="4" w:space="0" w:color="auto"/>
              <w:bottom w:val="single" w:sz="4" w:space="0" w:color="auto"/>
              <w:right w:val="single" w:sz="4" w:space="0" w:color="auto"/>
            </w:tcBorders>
          </w:tcPr>
          <w:p w:rsidR="002B0A63" w:rsidRPr="002C7441" w:rsidRDefault="002B0A63" w:rsidP="002B0A63">
            <w:pPr>
              <w:pStyle w:val="ListParagraph"/>
              <w:numPr>
                <w:ilvl w:val="0"/>
                <w:numId w:val="10"/>
              </w:numPr>
              <w:tabs>
                <w:tab w:val="num" w:pos="1671"/>
              </w:tabs>
              <w:ind w:left="317" w:hanging="317"/>
              <w:rPr>
                <w:rFonts w:cs="Arial"/>
              </w:rPr>
            </w:pPr>
            <w:r w:rsidRPr="002B0A63">
              <w:rPr>
                <w:rFonts w:cs="Arial"/>
              </w:rPr>
              <w:t xml:space="preserve">Improve targeting and increase take up of innovation, investment and internationalisation.  Support through enhanced engagement with the business community </w:t>
            </w:r>
          </w:p>
        </w:tc>
        <w:tc>
          <w:tcPr>
            <w:tcW w:w="1417" w:type="dxa"/>
            <w:vMerge/>
            <w:tcBorders>
              <w:left w:val="single" w:sz="4" w:space="0" w:color="auto"/>
              <w:right w:val="single" w:sz="4" w:space="0" w:color="auto"/>
            </w:tcBorders>
          </w:tcPr>
          <w:p w:rsidR="002B0A63" w:rsidRPr="00914A9C" w:rsidRDefault="002B0A63" w:rsidP="00914A9C">
            <w:pPr>
              <w:tabs>
                <w:tab w:val="num" w:pos="1671"/>
              </w:tabs>
              <w:rPr>
                <w:rFonts w:cs="Arial"/>
                <w:color w:val="000000" w:themeColor="text1"/>
              </w:rPr>
            </w:pPr>
          </w:p>
        </w:tc>
        <w:tc>
          <w:tcPr>
            <w:tcW w:w="1843" w:type="dxa"/>
            <w:vMerge/>
            <w:tcBorders>
              <w:left w:val="single" w:sz="4" w:space="0" w:color="auto"/>
              <w:right w:val="single" w:sz="4" w:space="0" w:color="auto"/>
            </w:tcBorders>
          </w:tcPr>
          <w:p w:rsidR="002B0A63" w:rsidRPr="001338F3" w:rsidRDefault="002B0A63" w:rsidP="009F2585">
            <w:pPr>
              <w:tabs>
                <w:tab w:val="num" w:pos="1671"/>
              </w:tabs>
              <w:jc w:val="center"/>
              <w:rPr>
                <w:rFonts w:cs="Arial"/>
              </w:rPr>
            </w:pPr>
          </w:p>
        </w:tc>
        <w:tc>
          <w:tcPr>
            <w:tcW w:w="1134" w:type="dxa"/>
            <w:vMerge/>
            <w:tcBorders>
              <w:left w:val="single" w:sz="4" w:space="0" w:color="auto"/>
              <w:right w:val="single" w:sz="4" w:space="0" w:color="auto"/>
            </w:tcBorders>
          </w:tcPr>
          <w:p w:rsidR="002B0A63" w:rsidRPr="00F02DE2" w:rsidRDefault="002B0A63" w:rsidP="00617F9C">
            <w:pPr>
              <w:tabs>
                <w:tab w:val="num" w:pos="1671"/>
              </w:tabs>
              <w:jc w:val="center"/>
              <w:rPr>
                <w:rFonts w:cs="Arial"/>
              </w:rPr>
            </w:pPr>
          </w:p>
        </w:tc>
      </w:tr>
      <w:tr w:rsidR="002B0A63"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2B0A63" w:rsidRDefault="002B0A63" w:rsidP="002B0A63">
            <w:pPr>
              <w:pStyle w:val="ListParagraph"/>
              <w:numPr>
                <w:ilvl w:val="0"/>
                <w:numId w:val="10"/>
              </w:numPr>
              <w:tabs>
                <w:tab w:val="num" w:pos="1671"/>
              </w:tabs>
              <w:ind w:left="284" w:hanging="284"/>
              <w:rPr>
                <w:rFonts w:cs="Arial"/>
              </w:rPr>
            </w:pPr>
            <w:r w:rsidRPr="00FA59F7">
              <w:rPr>
                <w:rFonts w:cs="Arial"/>
              </w:rPr>
              <w:t>Increased awareness of support for business start</w:t>
            </w:r>
            <w:r w:rsidR="00541C46">
              <w:rPr>
                <w:rFonts w:cs="Arial"/>
              </w:rPr>
              <w:t>-</w:t>
            </w:r>
            <w:r w:rsidRPr="00FA59F7">
              <w:rPr>
                <w:rFonts w:cs="Arial"/>
              </w:rPr>
              <w:t>ups including targeted wo</w:t>
            </w:r>
            <w:r>
              <w:rPr>
                <w:rFonts w:cs="Arial"/>
              </w:rPr>
              <w:t>rk in areas of high deprivation</w:t>
            </w:r>
          </w:p>
          <w:p w:rsidR="002B0A63" w:rsidRPr="00FA59F7" w:rsidRDefault="002B0A63" w:rsidP="002B0A63">
            <w:pPr>
              <w:pStyle w:val="ListParagraph"/>
              <w:ind w:left="284"/>
              <w:rPr>
                <w:rFonts w:cs="Arial"/>
              </w:rPr>
            </w:pPr>
          </w:p>
        </w:tc>
        <w:tc>
          <w:tcPr>
            <w:tcW w:w="5103" w:type="dxa"/>
            <w:tcBorders>
              <w:top w:val="single" w:sz="4" w:space="0" w:color="auto"/>
              <w:left w:val="single" w:sz="4" w:space="0" w:color="auto"/>
              <w:bottom w:val="single" w:sz="4" w:space="0" w:color="auto"/>
              <w:right w:val="single" w:sz="4" w:space="0" w:color="auto"/>
            </w:tcBorders>
          </w:tcPr>
          <w:p w:rsidR="002B0A63" w:rsidRPr="002C7441" w:rsidRDefault="002B0A63" w:rsidP="00541C46">
            <w:pPr>
              <w:pStyle w:val="ListParagraph"/>
              <w:numPr>
                <w:ilvl w:val="0"/>
                <w:numId w:val="10"/>
              </w:numPr>
              <w:ind w:left="317" w:hanging="317"/>
              <w:rPr>
                <w:rFonts w:cs="Arial"/>
              </w:rPr>
            </w:pPr>
            <w:r w:rsidRPr="002C7441">
              <w:rPr>
                <w:rFonts w:cs="Arial"/>
              </w:rPr>
              <w:t>Promoting and supporting enterprise/business start</w:t>
            </w:r>
            <w:r w:rsidR="00541C46">
              <w:rPr>
                <w:rFonts w:cs="Arial"/>
              </w:rPr>
              <w:t>-</w:t>
            </w:r>
            <w:r w:rsidRPr="002C7441">
              <w:rPr>
                <w:rFonts w:cs="Arial"/>
              </w:rPr>
              <w:t>up activity in targeted communities with high levels of income dep</w:t>
            </w:r>
            <w:r w:rsidR="00541C46">
              <w:rPr>
                <w:rFonts w:cs="Arial"/>
              </w:rPr>
              <w:t>rivation and low levels of self-</w:t>
            </w:r>
            <w:r w:rsidRPr="002C7441">
              <w:rPr>
                <w:rFonts w:cs="Arial"/>
              </w:rPr>
              <w:t>employment</w:t>
            </w:r>
          </w:p>
        </w:tc>
        <w:tc>
          <w:tcPr>
            <w:tcW w:w="1417" w:type="dxa"/>
            <w:vMerge/>
            <w:tcBorders>
              <w:left w:val="single" w:sz="4" w:space="0" w:color="auto"/>
              <w:right w:val="single" w:sz="4" w:space="0" w:color="auto"/>
            </w:tcBorders>
          </w:tcPr>
          <w:p w:rsidR="002B0A63" w:rsidRPr="00914A9C" w:rsidRDefault="002B0A63" w:rsidP="00914A9C">
            <w:pPr>
              <w:tabs>
                <w:tab w:val="num" w:pos="1671"/>
              </w:tabs>
              <w:rPr>
                <w:rFonts w:cs="Arial"/>
                <w:color w:val="000000" w:themeColor="text1"/>
              </w:rPr>
            </w:pPr>
          </w:p>
        </w:tc>
        <w:tc>
          <w:tcPr>
            <w:tcW w:w="1843" w:type="dxa"/>
            <w:vMerge/>
            <w:tcBorders>
              <w:left w:val="single" w:sz="4" w:space="0" w:color="auto"/>
              <w:right w:val="single" w:sz="4" w:space="0" w:color="auto"/>
            </w:tcBorders>
          </w:tcPr>
          <w:p w:rsidR="002B0A63" w:rsidRDefault="002B0A63" w:rsidP="009F2585">
            <w:pPr>
              <w:tabs>
                <w:tab w:val="num" w:pos="1671"/>
              </w:tabs>
              <w:jc w:val="center"/>
              <w:rPr>
                <w:rFonts w:cs="Arial"/>
              </w:rPr>
            </w:pPr>
          </w:p>
        </w:tc>
        <w:tc>
          <w:tcPr>
            <w:tcW w:w="1134" w:type="dxa"/>
            <w:vMerge/>
            <w:tcBorders>
              <w:left w:val="single" w:sz="4" w:space="0" w:color="auto"/>
              <w:right w:val="single" w:sz="4" w:space="0" w:color="auto"/>
            </w:tcBorders>
          </w:tcPr>
          <w:p w:rsidR="002B0A63" w:rsidRPr="001338F3" w:rsidRDefault="002B0A63" w:rsidP="00617F9C">
            <w:pPr>
              <w:tabs>
                <w:tab w:val="num" w:pos="1671"/>
              </w:tabs>
              <w:jc w:val="center"/>
              <w:rPr>
                <w:rFonts w:cs="Arial"/>
              </w:rPr>
            </w:pPr>
          </w:p>
        </w:tc>
      </w:tr>
      <w:tr w:rsidR="002B0A63"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2B0A63" w:rsidRPr="001338F3" w:rsidRDefault="002B0A63" w:rsidP="002B0A63">
            <w:pPr>
              <w:pStyle w:val="ListParagraph"/>
              <w:numPr>
                <w:ilvl w:val="0"/>
                <w:numId w:val="10"/>
              </w:numPr>
              <w:tabs>
                <w:tab w:val="num" w:pos="1671"/>
              </w:tabs>
              <w:ind w:left="284" w:hanging="284"/>
              <w:rPr>
                <w:rFonts w:cs="Arial"/>
              </w:rPr>
            </w:pPr>
            <w:r w:rsidRPr="001338F3">
              <w:rPr>
                <w:rFonts w:cs="Arial"/>
              </w:rPr>
              <w:t xml:space="preserve">Increased business survival </w:t>
            </w:r>
          </w:p>
          <w:p w:rsidR="002B0A63" w:rsidRPr="001338F3" w:rsidRDefault="002B0A63" w:rsidP="001338F3">
            <w:pPr>
              <w:rPr>
                <w:rFonts w:cs="Arial"/>
              </w:rPr>
            </w:pPr>
          </w:p>
          <w:p w:rsidR="002B0A63" w:rsidRPr="001338F3" w:rsidRDefault="002B0A63" w:rsidP="001338F3">
            <w:pPr>
              <w:rPr>
                <w:rFonts w:cs="Arial"/>
              </w:rPr>
            </w:pPr>
          </w:p>
        </w:tc>
        <w:tc>
          <w:tcPr>
            <w:tcW w:w="5103" w:type="dxa"/>
            <w:tcBorders>
              <w:top w:val="single" w:sz="4" w:space="0" w:color="auto"/>
              <w:left w:val="single" w:sz="4" w:space="0" w:color="auto"/>
              <w:bottom w:val="single" w:sz="4" w:space="0" w:color="auto"/>
              <w:right w:val="single" w:sz="4" w:space="0" w:color="auto"/>
            </w:tcBorders>
          </w:tcPr>
          <w:p w:rsidR="002B0A63" w:rsidRDefault="002B0A63" w:rsidP="002C7441">
            <w:pPr>
              <w:pStyle w:val="ListParagraph"/>
              <w:numPr>
                <w:ilvl w:val="0"/>
                <w:numId w:val="10"/>
              </w:numPr>
              <w:ind w:left="317" w:hanging="317"/>
              <w:rPr>
                <w:rFonts w:cs="Arial"/>
              </w:rPr>
            </w:pPr>
            <w:r w:rsidRPr="003236D2">
              <w:rPr>
                <w:rFonts w:cs="Arial"/>
              </w:rPr>
              <w:t>Specific development work on locally important sectors identified through the Economic Growth Strategic Needs Assessment as well as continued work on Tourism, Food and Drink and Construction Sectors in South Lanarkshire.  Implementation of new Business Gateway contract with improved targeting of growth companies and bespoke business development plans</w:t>
            </w:r>
          </w:p>
          <w:p w:rsidR="002B0A63" w:rsidRPr="00B050F8" w:rsidRDefault="002B0A63" w:rsidP="00B050F8">
            <w:pPr>
              <w:pStyle w:val="ListParagraph"/>
              <w:rPr>
                <w:rFonts w:cs="Arial"/>
              </w:rPr>
            </w:pPr>
          </w:p>
          <w:p w:rsidR="002B0A63" w:rsidRDefault="002B0A63" w:rsidP="001338F3">
            <w:pPr>
              <w:pStyle w:val="ListParagraph"/>
              <w:numPr>
                <w:ilvl w:val="0"/>
                <w:numId w:val="5"/>
              </w:numPr>
              <w:ind w:left="270" w:hanging="284"/>
              <w:rPr>
                <w:rFonts w:cs="Arial"/>
              </w:rPr>
            </w:pPr>
            <w:r>
              <w:rPr>
                <w:rFonts w:cs="Arial"/>
              </w:rPr>
              <w:t xml:space="preserve"> </w:t>
            </w:r>
            <w:r w:rsidRPr="001338F3">
              <w:rPr>
                <w:rFonts w:cs="Arial"/>
              </w:rPr>
              <w:t xml:space="preserve">Increased number of growth companies </w:t>
            </w:r>
            <w:r>
              <w:rPr>
                <w:rFonts w:cs="Arial"/>
              </w:rPr>
              <w:t xml:space="preserve">  </w:t>
            </w:r>
          </w:p>
          <w:p w:rsidR="002B0A63" w:rsidRDefault="002B0A63" w:rsidP="00496C59">
            <w:pPr>
              <w:pStyle w:val="ListParagraph"/>
              <w:ind w:left="270"/>
              <w:rPr>
                <w:rFonts w:cs="Arial"/>
              </w:rPr>
            </w:pPr>
            <w:r>
              <w:rPr>
                <w:rFonts w:cs="Arial"/>
              </w:rPr>
              <w:t xml:space="preserve"> </w:t>
            </w:r>
            <w:r w:rsidRPr="001338F3">
              <w:rPr>
                <w:rFonts w:cs="Arial"/>
              </w:rPr>
              <w:t xml:space="preserve">engaged with partners and delivery of </w:t>
            </w:r>
          </w:p>
          <w:p w:rsidR="002B0A63" w:rsidRPr="001338F3" w:rsidRDefault="002B0A63" w:rsidP="00496C59">
            <w:pPr>
              <w:pStyle w:val="ListParagraph"/>
              <w:ind w:left="270"/>
              <w:rPr>
                <w:rFonts w:cs="Arial"/>
              </w:rPr>
            </w:pPr>
            <w:r>
              <w:rPr>
                <w:rFonts w:cs="Arial"/>
              </w:rPr>
              <w:t xml:space="preserve"> </w:t>
            </w:r>
            <w:r w:rsidRPr="001338F3">
              <w:rPr>
                <w:rFonts w:cs="Arial"/>
              </w:rPr>
              <w:t>par</w:t>
            </w:r>
            <w:r>
              <w:rPr>
                <w:rFonts w:cs="Arial"/>
              </w:rPr>
              <w:t xml:space="preserve">tnership services in the short </w:t>
            </w:r>
            <w:r w:rsidRPr="001338F3">
              <w:rPr>
                <w:rFonts w:cs="Arial"/>
              </w:rPr>
              <w:t>term</w:t>
            </w:r>
          </w:p>
          <w:p w:rsidR="002B0A63" w:rsidRPr="001338F3" w:rsidRDefault="002B0A63" w:rsidP="001338F3">
            <w:pPr>
              <w:pStyle w:val="ListParagraph"/>
              <w:ind w:left="270"/>
              <w:rPr>
                <w:rFonts w:cs="Arial"/>
              </w:rPr>
            </w:pPr>
          </w:p>
          <w:p w:rsidR="002B0A63" w:rsidRDefault="002B0A63" w:rsidP="00496C59">
            <w:pPr>
              <w:pStyle w:val="ListParagraph"/>
              <w:numPr>
                <w:ilvl w:val="0"/>
                <w:numId w:val="5"/>
              </w:numPr>
              <w:ind w:left="317" w:hanging="317"/>
              <w:rPr>
                <w:rFonts w:cs="Arial"/>
              </w:rPr>
            </w:pPr>
            <w:r w:rsidRPr="00496C59">
              <w:rPr>
                <w:rFonts w:cs="Arial"/>
              </w:rPr>
              <w:t>Progress will be further evidenced in the medium to long term comprising improvements in companies productivity, performance and turnover</w:t>
            </w:r>
          </w:p>
          <w:p w:rsidR="002B0A63" w:rsidRPr="001338F3" w:rsidRDefault="002B0A63" w:rsidP="009F2585">
            <w:pPr>
              <w:pStyle w:val="ListParagraph"/>
              <w:numPr>
                <w:ilvl w:val="0"/>
                <w:numId w:val="5"/>
              </w:numPr>
              <w:ind w:left="317" w:hanging="317"/>
              <w:rPr>
                <w:rFonts w:cs="Arial"/>
              </w:rPr>
            </w:pPr>
            <w:r>
              <w:rPr>
                <w:rFonts w:cs="Arial"/>
              </w:rPr>
              <w:t>Progress will be further evidenced in the medium to long term comprising i</w:t>
            </w:r>
            <w:r w:rsidRPr="001338F3">
              <w:rPr>
                <w:rFonts w:cs="Arial"/>
              </w:rPr>
              <w:t xml:space="preserve">ncrease in innovation and investment among businesses. </w:t>
            </w:r>
            <w:r>
              <w:rPr>
                <w:rFonts w:cs="Arial"/>
              </w:rPr>
              <w:t xml:space="preserve"> </w:t>
            </w:r>
            <w:r w:rsidRPr="001338F3">
              <w:rPr>
                <w:rFonts w:cs="Arial"/>
              </w:rPr>
              <w:t>This means new processes, new products, workplace innovation and the development of new markets, and will include research and development spend across South Lanarkshire</w:t>
            </w:r>
          </w:p>
          <w:p w:rsidR="002B0A63" w:rsidRPr="001338F3" w:rsidRDefault="002B0A63" w:rsidP="001338F3">
            <w:pPr>
              <w:pStyle w:val="ListParagraph"/>
              <w:rPr>
                <w:rFonts w:cs="Arial"/>
              </w:rPr>
            </w:pPr>
          </w:p>
          <w:p w:rsidR="002B0A63" w:rsidRPr="001338F3" w:rsidRDefault="002B0A63" w:rsidP="00B050F8">
            <w:pPr>
              <w:pStyle w:val="ListParagraph"/>
              <w:numPr>
                <w:ilvl w:val="0"/>
                <w:numId w:val="5"/>
              </w:numPr>
              <w:ind w:left="317" w:hanging="317"/>
              <w:rPr>
                <w:rFonts w:cs="Arial"/>
              </w:rPr>
            </w:pPr>
            <w:r w:rsidRPr="00B050F8">
              <w:rPr>
                <w:rFonts w:cs="Arial"/>
              </w:rPr>
              <w:t>Progress will be further evidenced in the medium to long term comprising i</w:t>
            </w:r>
            <w:r w:rsidRPr="001338F3">
              <w:rPr>
                <w:rFonts w:cs="Arial"/>
              </w:rPr>
              <w:t>ncrease in exporting and internationali</w:t>
            </w:r>
            <w:r>
              <w:rPr>
                <w:rFonts w:cs="Arial"/>
              </w:rPr>
              <w:t>s</w:t>
            </w:r>
            <w:r w:rsidRPr="001338F3">
              <w:rPr>
                <w:rFonts w:cs="Arial"/>
              </w:rPr>
              <w:t>ation activity</w:t>
            </w:r>
          </w:p>
        </w:tc>
        <w:tc>
          <w:tcPr>
            <w:tcW w:w="1417" w:type="dxa"/>
            <w:vMerge/>
            <w:tcBorders>
              <w:left w:val="single" w:sz="4" w:space="0" w:color="auto"/>
              <w:bottom w:val="single" w:sz="4" w:space="0" w:color="auto"/>
              <w:right w:val="single" w:sz="4" w:space="0" w:color="auto"/>
            </w:tcBorders>
          </w:tcPr>
          <w:p w:rsidR="002B0A63" w:rsidRPr="00914A9C" w:rsidRDefault="002B0A63" w:rsidP="00914A9C">
            <w:pPr>
              <w:tabs>
                <w:tab w:val="num" w:pos="1671"/>
              </w:tabs>
              <w:rPr>
                <w:rFonts w:cs="Arial"/>
                <w:color w:val="000000" w:themeColor="text1"/>
              </w:rPr>
            </w:pPr>
          </w:p>
        </w:tc>
        <w:tc>
          <w:tcPr>
            <w:tcW w:w="1843" w:type="dxa"/>
            <w:vMerge/>
            <w:tcBorders>
              <w:left w:val="single" w:sz="4" w:space="0" w:color="auto"/>
              <w:bottom w:val="single" w:sz="4" w:space="0" w:color="auto"/>
              <w:right w:val="single" w:sz="4" w:space="0" w:color="auto"/>
            </w:tcBorders>
          </w:tcPr>
          <w:p w:rsidR="002B0A63" w:rsidRPr="001338F3" w:rsidRDefault="002B0A63" w:rsidP="009F2585">
            <w:pPr>
              <w:tabs>
                <w:tab w:val="num" w:pos="1671"/>
              </w:tabs>
              <w:jc w:val="center"/>
              <w:rPr>
                <w:rFonts w:cs="Arial"/>
              </w:rPr>
            </w:pPr>
          </w:p>
        </w:tc>
        <w:tc>
          <w:tcPr>
            <w:tcW w:w="1134" w:type="dxa"/>
            <w:vMerge/>
            <w:tcBorders>
              <w:left w:val="single" w:sz="4" w:space="0" w:color="auto"/>
              <w:bottom w:val="single" w:sz="4" w:space="0" w:color="auto"/>
              <w:right w:val="single" w:sz="4" w:space="0" w:color="auto"/>
            </w:tcBorders>
          </w:tcPr>
          <w:p w:rsidR="002B0A63" w:rsidRPr="001338F3" w:rsidRDefault="002B0A63" w:rsidP="00617F9C">
            <w:pPr>
              <w:tabs>
                <w:tab w:val="num" w:pos="1671"/>
              </w:tabs>
              <w:jc w:val="center"/>
              <w:rPr>
                <w:rFonts w:cs="Arial"/>
              </w:rPr>
            </w:pPr>
          </w:p>
        </w:tc>
      </w:tr>
      <w:tr w:rsidR="0058497B"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58497B" w:rsidRDefault="0058497B" w:rsidP="002B0A63">
            <w:pPr>
              <w:pStyle w:val="ListParagraph"/>
              <w:ind w:left="284"/>
              <w:rPr>
                <w:rFonts w:cs="Arial"/>
              </w:rPr>
            </w:pPr>
          </w:p>
          <w:p w:rsidR="0058497B" w:rsidRDefault="0058497B" w:rsidP="002B0A63">
            <w:pPr>
              <w:pStyle w:val="ListParagraph"/>
              <w:ind w:left="284"/>
              <w:rPr>
                <w:rFonts w:cs="Arial"/>
              </w:rPr>
            </w:pPr>
          </w:p>
          <w:p w:rsidR="0058497B" w:rsidRDefault="0058497B" w:rsidP="002B0A63">
            <w:pPr>
              <w:pStyle w:val="ListParagraph"/>
              <w:ind w:left="284"/>
              <w:rPr>
                <w:rFonts w:cs="Arial"/>
              </w:rPr>
            </w:pPr>
          </w:p>
          <w:p w:rsidR="0058497B" w:rsidRDefault="0058497B" w:rsidP="002B0A63">
            <w:pPr>
              <w:pStyle w:val="ListParagraph"/>
              <w:numPr>
                <w:ilvl w:val="0"/>
                <w:numId w:val="25"/>
              </w:numPr>
              <w:ind w:left="284" w:hanging="284"/>
              <w:rPr>
                <w:rFonts w:cs="Arial"/>
              </w:rPr>
            </w:pPr>
            <w:r w:rsidRPr="001338F3">
              <w:rPr>
                <w:rFonts w:cs="Arial"/>
              </w:rPr>
              <w:t>Increased take up of premises and development site opportunities</w:t>
            </w:r>
          </w:p>
          <w:p w:rsidR="0058497B" w:rsidRPr="001338F3" w:rsidRDefault="0058497B" w:rsidP="002B0A63">
            <w:pPr>
              <w:pStyle w:val="ListParagraph"/>
              <w:ind w:left="284"/>
              <w:rPr>
                <w:rFonts w:cs="Arial"/>
              </w:rPr>
            </w:pPr>
          </w:p>
          <w:p w:rsidR="0058497B" w:rsidRDefault="0058497B" w:rsidP="00FD57AF">
            <w:pPr>
              <w:pStyle w:val="ListParagraph"/>
              <w:ind w:left="284"/>
              <w:rPr>
                <w:rFonts w:cs="Arial"/>
              </w:rPr>
            </w:pPr>
          </w:p>
        </w:tc>
        <w:tc>
          <w:tcPr>
            <w:tcW w:w="5103" w:type="dxa"/>
            <w:tcBorders>
              <w:top w:val="single" w:sz="4" w:space="0" w:color="auto"/>
              <w:left w:val="single" w:sz="4" w:space="0" w:color="auto"/>
              <w:bottom w:val="single" w:sz="4" w:space="0" w:color="auto"/>
              <w:right w:val="single" w:sz="4" w:space="0" w:color="auto"/>
            </w:tcBorders>
          </w:tcPr>
          <w:p w:rsidR="0058497B" w:rsidRPr="001338F3" w:rsidRDefault="0058497B" w:rsidP="002B0A63">
            <w:pPr>
              <w:tabs>
                <w:tab w:val="num" w:pos="1671"/>
              </w:tabs>
              <w:rPr>
                <w:rFonts w:cs="Arial"/>
              </w:rPr>
            </w:pPr>
            <w:r w:rsidRPr="001338F3">
              <w:rPr>
                <w:rFonts w:cs="Arial"/>
              </w:rPr>
              <w:t xml:space="preserve">Delivering on the City Deal aspirations across agreed key themes and projects </w:t>
            </w:r>
          </w:p>
          <w:p w:rsidR="0058497B" w:rsidRPr="001338F3" w:rsidRDefault="0058497B" w:rsidP="002B0A63">
            <w:pPr>
              <w:tabs>
                <w:tab w:val="num" w:pos="1671"/>
              </w:tabs>
              <w:rPr>
                <w:rFonts w:cs="Arial"/>
              </w:rPr>
            </w:pPr>
          </w:p>
          <w:p w:rsidR="0058497B" w:rsidRPr="001338F3" w:rsidRDefault="0058497B" w:rsidP="002B0A63">
            <w:pPr>
              <w:pStyle w:val="ListParagraph"/>
              <w:numPr>
                <w:ilvl w:val="0"/>
                <w:numId w:val="6"/>
              </w:numPr>
              <w:tabs>
                <w:tab w:val="num" w:pos="1671"/>
              </w:tabs>
              <w:ind w:left="317" w:hanging="317"/>
              <w:rPr>
                <w:rFonts w:cs="Arial"/>
              </w:rPr>
            </w:pPr>
            <w:r w:rsidRPr="001338F3">
              <w:rPr>
                <w:rFonts w:cs="Arial"/>
              </w:rPr>
              <w:t>Progress key roads infrastructure projects at Greenhills Road/Strathaven Road and Stewartfield Way in East Kilbride</w:t>
            </w:r>
          </w:p>
          <w:p w:rsidR="0058497B" w:rsidRPr="001338F3" w:rsidRDefault="0058497B" w:rsidP="001338F3">
            <w:pPr>
              <w:tabs>
                <w:tab w:val="num" w:pos="1671"/>
              </w:tabs>
              <w:rPr>
                <w:rFonts w:cs="Arial"/>
              </w:rPr>
            </w:pPr>
          </w:p>
        </w:tc>
        <w:tc>
          <w:tcPr>
            <w:tcW w:w="1417" w:type="dxa"/>
            <w:vMerge w:val="restart"/>
            <w:tcBorders>
              <w:top w:val="single" w:sz="4" w:space="0" w:color="auto"/>
              <w:left w:val="single" w:sz="4" w:space="0" w:color="auto"/>
              <w:right w:val="single" w:sz="4" w:space="0" w:color="auto"/>
            </w:tcBorders>
          </w:tcPr>
          <w:p w:rsidR="0058497B" w:rsidRDefault="0058497B" w:rsidP="001338F3">
            <w:pPr>
              <w:tabs>
                <w:tab w:val="num" w:pos="1671"/>
              </w:tabs>
              <w:rPr>
                <w:rFonts w:cs="Arial"/>
              </w:rPr>
            </w:pPr>
            <w:r w:rsidRPr="00914A9C">
              <w:rPr>
                <w:rFonts w:cs="Arial"/>
              </w:rPr>
              <w:t>March 2020</w:t>
            </w: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Default="0058497B" w:rsidP="001338F3">
            <w:pPr>
              <w:tabs>
                <w:tab w:val="num" w:pos="1671"/>
              </w:tabs>
              <w:rPr>
                <w:rFonts w:cs="Arial"/>
              </w:rPr>
            </w:pPr>
          </w:p>
          <w:p w:rsidR="0058497B" w:rsidRPr="00914A9C" w:rsidRDefault="0058497B" w:rsidP="001338F3">
            <w:pPr>
              <w:tabs>
                <w:tab w:val="num" w:pos="1671"/>
              </w:tabs>
              <w:rPr>
                <w:rFonts w:cs="Arial"/>
              </w:rPr>
            </w:pPr>
            <w:r w:rsidRPr="00914A9C">
              <w:rPr>
                <w:rFonts w:cs="Arial"/>
              </w:rPr>
              <w:t>March 2020</w:t>
            </w:r>
          </w:p>
        </w:tc>
        <w:tc>
          <w:tcPr>
            <w:tcW w:w="1843" w:type="dxa"/>
            <w:vMerge w:val="restart"/>
            <w:tcBorders>
              <w:top w:val="single" w:sz="4" w:space="0" w:color="auto"/>
              <w:left w:val="single" w:sz="4" w:space="0" w:color="auto"/>
              <w:right w:val="single" w:sz="4" w:space="0" w:color="auto"/>
            </w:tcBorders>
          </w:tcPr>
          <w:p w:rsidR="0058497B" w:rsidRDefault="0058497B" w:rsidP="00550060">
            <w:pPr>
              <w:tabs>
                <w:tab w:val="num" w:pos="1671"/>
              </w:tabs>
              <w:jc w:val="center"/>
              <w:rPr>
                <w:rFonts w:cs="Arial"/>
              </w:rPr>
            </w:pPr>
            <w:r w:rsidRPr="001338F3">
              <w:rPr>
                <w:rFonts w:cs="Arial"/>
              </w:rPr>
              <w:t>SLC Community and Enterprise</w:t>
            </w:r>
          </w:p>
          <w:p w:rsidR="0058497B" w:rsidRDefault="0058497B" w:rsidP="00550060">
            <w:pPr>
              <w:tabs>
                <w:tab w:val="num" w:pos="1671"/>
              </w:tabs>
              <w:jc w:val="center"/>
              <w:rPr>
                <w:rFonts w:cs="Arial"/>
              </w:rPr>
            </w:pPr>
          </w:p>
          <w:p w:rsidR="0058497B" w:rsidRDefault="0058497B" w:rsidP="00F414D7">
            <w:pPr>
              <w:tabs>
                <w:tab w:val="num" w:pos="1671"/>
              </w:tabs>
              <w:jc w:val="center"/>
              <w:rPr>
                <w:rFonts w:cs="Arial"/>
              </w:rPr>
            </w:pPr>
            <w:r>
              <w:rPr>
                <w:rFonts w:cs="Arial"/>
              </w:rPr>
              <w:t>Finance and Corporate Resources</w:t>
            </w: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r>
              <w:rPr>
                <w:rFonts w:cs="Arial"/>
              </w:rPr>
              <w:t>Education Resources</w:t>
            </w: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r>
              <w:rPr>
                <w:rFonts w:cs="Arial"/>
              </w:rPr>
              <w:t>Skills Development Scotland</w:t>
            </w: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p>
          <w:p w:rsidR="0058497B" w:rsidRDefault="0058497B" w:rsidP="00F414D7">
            <w:pPr>
              <w:tabs>
                <w:tab w:val="num" w:pos="1671"/>
              </w:tabs>
              <w:jc w:val="center"/>
              <w:rPr>
                <w:rFonts w:cs="Arial"/>
              </w:rPr>
            </w:pPr>
          </w:p>
          <w:p w:rsidR="0058497B" w:rsidRDefault="0058497B" w:rsidP="0058497B">
            <w:pPr>
              <w:tabs>
                <w:tab w:val="num" w:pos="1671"/>
              </w:tabs>
              <w:jc w:val="center"/>
              <w:rPr>
                <w:rFonts w:cs="Arial"/>
              </w:rPr>
            </w:pPr>
            <w:r w:rsidRPr="001338F3">
              <w:rPr>
                <w:rFonts w:cs="Arial"/>
              </w:rPr>
              <w:t>SLC Community and Enterprise</w:t>
            </w:r>
          </w:p>
          <w:p w:rsidR="0058497B" w:rsidRDefault="0058497B" w:rsidP="0058497B">
            <w:pPr>
              <w:tabs>
                <w:tab w:val="num" w:pos="1671"/>
              </w:tabs>
              <w:jc w:val="center"/>
              <w:rPr>
                <w:rFonts w:cs="Arial"/>
              </w:rPr>
            </w:pPr>
          </w:p>
          <w:p w:rsidR="0058497B" w:rsidRDefault="0058497B" w:rsidP="0058497B">
            <w:pPr>
              <w:tabs>
                <w:tab w:val="num" w:pos="1671"/>
              </w:tabs>
              <w:jc w:val="center"/>
              <w:rPr>
                <w:rFonts w:cs="Arial"/>
              </w:rPr>
            </w:pPr>
            <w:r>
              <w:rPr>
                <w:rFonts w:cs="Arial"/>
              </w:rPr>
              <w:t>Finance and Corporate Resources</w:t>
            </w:r>
          </w:p>
          <w:p w:rsidR="0058497B" w:rsidRDefault="0058497B" w:rsidP="0058497B">
            <w:pPr>
              <w:tabs>
                <w:tab w:val="num" w:pos="1671"/>
              </w:tabs>
              <w:jc w:val="center"/>
              <w:rPr>
                <w:rFonts w:cs="Arial"/>
              </w:rPr>
            </w:pPr>
          </w:p>
          <w:p w:rsidR="0058497B" w:rsidRDefault="0058497B" w:rsidP="0058497B">
            <w:pPr>
              <w:tabs>
                <w:tab w:val="num" w:pos="1671"/>
              </w:tabs>
              <w:jc w:val="center"/>
              <w:rPr>
                <w:rFonts w:cs="Arial"/>
              </w:rPr>
            </w:pPr>
            <w:r>
              <w:rPr>
                <w:rFonts w:cs="Arial"/>
              </w:rPr>
              <w:t>Education Resources</w:t>
            </w:r>
          </w:p>
          <w:p w:rsidR="0058497B" w:rsidRDefault="0058497B" w:rsidP="0058497B">
            <w:pPr>
              <w:tabs>
                <w:tab w:val="num" w:pos="1671"/>
              </w:tabs>
              <w:jc w:val="center"/>
              <w:rPr>
                <w:rFonts w:cs="Arial"/>
              </w:rPr>
            </w:pPr>
          </w:p>
          <w:p w:rsidR="0058497B" w:rsidRPr="001338F3" w:rsidRDefault="0058497B" w:rsidP="0058497B">
            <w:pPr>
              <w:tabs>
                <w:tab w:val="num" w:pos="1671"/>
              </w:tabs>
              <w:jc w:val="center"/>
              <w:rPr>
                <w:rFonts w:cs="Arial"/>
              </w:rPr>
            </w:pPr>
            <w:r>
              <w:rPr>
                <w:rFonts w:cs="Arial"/>
              </w:rPr>
              <w:t>Skills Development Scotland</w:t>
            </w:r>
          </w:p>
        </w:tc>
        <w:tc>
          <w:tcPr>
            <w:tcW w:w="1134" w:type="dxa"/>
            <w:vMerge w:val="restart"/>
            <w:tcBorders>
              <w:top w:val="single" w:sz="4" w:space="0" w:color="auto"/>
              <w:left w:val="single" w:sz="4" w:space="0" w:color="auto"/>
              <w:right w:val="single" w:sz="4" w:space="0" w:color="auto"/>
            </w:tcBorders>
          </w:tcPr>
          <w:p w:rsidR="0058497B" w:rsidRDefault="0058497B" w:rsidP="00617F9C">
            <w:pPr>
              <w:tabs>
                <w:tab w:val="num" w:pos="1671"/>
              </w:tabs>
              <w:jc w:val="center"/>
              <w:rPr>
                <w:rFonts w:cs="Arial"/>
              </w:rPr>
            </w:pPr>
            <w:r>
              <w:rPr>
                <w:rFonts w:cs="Arial"/>
              </w:rPr>
              <w:t>2, 4, 7</w:t>
            </w: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p>
          <w:p w:rsidR="0058497B" w:rsidRDefault="0058497B" w:rsidP="00617F9C">
            <w:pPr>
              <w:tabs>
                <w:tab w:val="num" w:pos="1671"/>
              </w:tabs>
              <w:jc w:val="center"/>
              <w:rPr>
                <w:rFonts w:cs="Arial"/>
              </w:rPr>
            </w:pPr>
            <w:r>
              <w:rPr>
                <w:rFonts w:cs="Arial"/>
              </w:rPr>
              <w:t>2, 4, 7</w:t>
            </w:r>
          </w:p>
        </w:tc>
      </w:tr>
      <w:tr w:rsidR="0058497B"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58497B" w:rsidRDefault="0058497B" w:rsidP="001142EE">
            <w:pPr>
              <w:pStyle w:val="ListParagraph"/>
              <w:numPr>
                <w:ilvl w:val="0"/>
                <w:numId w:val="25"/>
              </w:numPr>
              <w:ind w:left="284" w:hanging="284"/>
              <w:rPr>
                <w:rFonts w:cs="Arial"/>
              </w:rPr>
            </w:pPr>
            <w:r w:rsidRPr="001338F3">
              <w:rPr>
                <w:rFonts w:cs="Arial"/>
              </w:rPr>
              <w:t>Increased inward investment</w:t>
            </w:r>
          </w:p>
          <w:p w:rsidR="0058497B" w:rsidRPr="001338F3" w:rsidRDefault="0058497B" w:rsidP="001142EE">
            <w:pPr>
              <w:pStyle w:val="ListParagraph"/>
              <w:ind w:left="284"/>
              <w:rPr>
                <w:rFonts w:cs="Arial"/>
              </w:rPr>
            </w:pPr>
          </w:p>
        </w:tc>
        <w:tc>
          <w:tcPr>
            <w:tcW w:w="5103" w:type="dxa"/>
            <w:tcBorders>
              <w:top w:val="single" w:sz="4" w:space="0" w:color="auto"/>
              <w:left w:val="single" w:sz="4" w:space="0" w:color="auto"/>
              <w:bottom w:val="single" w:sz="4" w:space="0" w:color="auto"/>
              <w:right w:val="single" w:sz="4" w:space="0" w:color="auto"/>
            </w:tcBorders>
          </w:tcPr>
          <w:p w:rsidR="0058497B" w:rsidRPr="001338F3" w:rsidRDefault="0058497B" w:rsidP="001142EE">
            <w:pPr>
              <w:pStyle w:val="ListParagraph"/>
              <w:numPr>
                <w:ilvl w:val="0"/>
                <w:numId w:val="6"/>
              </w:numPr>
              <w:tabs>
                <w:tab w:val="num" w:pos="1671"/>
              </w:tabs>
              <w:ind w:left="317" w:hanging="317"/>
              <w:rPr>
                <w:rFonts w:cs="Arial"/>
              </w:rPr>
            </w:pPr>
            <w:r w:rsidRPr="001338F3">
              <w:rPr>
                <w:rFonts w:cs="Arial"/>
              </w:rPr>
              <w:t>Progress supporting infrastructure projects to deliver 4 community growth areas</w:t>
            </w:r>
          </w:p>
        </w:tc>
        <w:tc>
          <w:tcPr>
            <w:tcW w:w="1417" w:type="dxa"/>
            <w:vMerge/>
            <w:tcBorders>
              <w:left w:val="single" w:sz="4" w:space="0" w:color="auto"/>
              <w:right w:val="single" w:sz="4" w:space="0" w:color="auto"/>
            </w:tcBorders>
          </w:tcPr>
          <w:p w:rsidR="0058497B" w:rsidRPr="001338F3" w:rsidRDefault="0058497B" w:rsidP="001338F3">
            <w:pPr>
              <w:tabs>
                <w:tab w:val="num" w:pos="1671"/>
              </w:tabs>
              <w:rPr>
                <w:rFonts w:cs="Arial"/>
                <w:highlight w:val="yellow"/>
              </w:rPr>
            </w:pPr>
          </w:p>
        </w:tc>
        <w:tc>
          <w:tcPr>
            <w:tcW w:w="1843" w:type="dxa"/>
            <w:vMerge/>
            <w:tcBorders>
              <w:left w:val="single" w:sz="4" w:space="0" w:color="auto"/>
              <w:right w:val="single" w:sz="4" w:space="0" w:color="auto"/>
            </w:tcBorders>
          </w:tcPr>
          <w:p w:rsidR="0058497B" w:rsidRPr="001338F3" w:rsidRDefault="0058497B" w:rsidP="00F414D7">
            <w:pPr>
              <w:tabs>
                <w:tab w:val="num" w:pos="1671"/>
              </w:tabs>
              <w:jc w:val="center"/>
              <w:rPr>
                <w:rFonts w:cs="Arial"/>
              </w:rPr>
            </w:pPr>
          </w:p>
        </w:tc>
        <w:tc>
          <w:tcPr>
            <w:tcW w:w="1134" w:type="dxa"/>
            <w:vMerge/>
            <w:tcBorders>
              <w:left w:val="single" w:sz="4" w:space="0" w:color="auto"/>
              <w:right w:val="single" w:sz="4" w:space="0" w:color="auto"/>
            </w:tcBorders>
          </w:tcPr>
          <w:p w:rsidR="0058497B" w:rsidRPr="001338F3" w:rsidRDefault="0058497B" w:rsidP="00617F9C">
            <w:pPr>
              <w:tabs>
                <w:tab w:val="num" w:pos="1671"/>
              </w:tabs>
              <w:jc w:val="center"/>
              <w:rPr>
                <w:rFonts w:cs="Arial"/>
              </w:rPr>
            </w:pPr>
          </w:p>
        </w:tc>
      </w:tr>
      <w:tr w:rsidR="0058497B"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58497B" w:rsidRPr="001338F3" w:rsidRDefault="0058497B" w:rsidP="001142EE">
            <w:pPr>
              <w:pStyle w:val="ListParagraph"/>
              <w:numPr>
                <w:ilvl w:val="0"/>
                <w:numId w:val="25"/>
              </w:numPr>
              <w:ind w:left="284" w:hanging="284"/>
              <w:rPr>
                <w:rFonts w:cs="Arial"/>
              </w:rPr>
            </w:pPr>
            <w:r w:rsidRPr="001338F3">
              <w:rPr>
                <w:rFonts w:cs="Arial"/>
              </w:rPr>
              <w:t>New residential deve</w:t>
            </w:r>
            <w:r>
              <w:rPr>
                <w:rFonts w:cs="Arial"/>
              </w:rPr>
              <w:t>lopment site starts, increased c</w:t>
            </w:r>
            <w:r w:rsidRPr="001338F3">
              <w:rPr>
                <w:rFonts w:cs="Arial"/>
              </w:rPr>
              <w:t>ompletions and sales</w:t>
            </w:r>
          </w:p>
        </w:tc>
        <w:tc>
          <w:tcPr>
            <w:tcW w:w="5103" w:type="dxa"/>
            <w:tcBorders>
              <w:top w:val="single" w:sz="4" w:space="0" w:color="auto"/>
              <w:left w:val="single" w:sz="4" w:space="0" w:color="auto"/>
              <w:bottom w:val="single" w:sz="4" w:space="0" w:color="auto"/>
              <w:right w:val="single" w:sz="4" w:space="0" w:color="auto"/>
            </w:tcBorders>
          </w:tcPr>
          <w:p w:rsidR="0058497B" w:rsidRPr="001338F3" w:rsidRDefault="0058497B" w:rsidP="001142EE">
            <w:pPr>
              <w:pStyle w:val="ListParagraph"/>
              <w:numPr>
                <w:ilvl w:val="0"/>
                <w:numId w:val="6"/>
              </w:numPr>
              <w:tabs>
                <w:tab w:val="num" w:pos="1671"/>
              </w:tabs>
              <w:ind w:left="317" w:hanging="317"/>
              <w:rPr>
                <w:rFonts w:cs="Arial"/>
              </w:rPr>
            </w:pPr>
            <w:r w:rsidRPr="001338F3">
              <w:rPr>
                <w:rFonts w:cs="Arial"/>
              </w:rPr>
              <w:t>Effective marketing of assets and development opportunities</w:t>
            </w:r>
          </w:p>
        </w:tc>
        <w:tc>
          <w:tcPr>
            <w:tcW w:w="1417" w:type="dxa"/>
            <w:vMerge/>
            <w:tcBorders>
              <w:left w:val="single" w:sz="4" w:space="0" w:color="auto"/>
              <w:right w:val="single" w:sz="4" w:space="0" w:color="auto"/>
            </w:tcBorders>
          </w:tcPr>
          <w:p w:rsidR="0058497B" w:rsidRPr="001338F3" w:rsidRDefault="0058497B" w:rsidP="001338F3">
            <w:pPr>
              <w:tabs>
                <w:tab w:val="num" w:pos="1671"/>
              </w:tabs>
              <w:rPr>
                <w:rFonts w:cs="Arial"/>
                <w:highlight w:val="yellow"/>
              </w:rPr>
            </w:pPr>
          </w:p>
        </w:tc>
        <w:tc>
          <w:tcPr>
            <w:tcW w:w="1843" w:type="dxa"/>
            <w:vMerge/>
            <w:tcBorders>
              <w:left w:val="single" w:sz="4" w:space="0" w:color="auto"/>
              <w:right w:val="single" w:sz="4" w:space="0" w:color="auto"/>
            </w:tcBorders>
          </w:tcPr>
          <w:p w:rsidR="0058497B" w:rsidRPr="001338F3" w:rsidRDefault="0058497B" w:rsidP="00F414D7">
            <w:pPr>
              <w:tabs>
                <w:tab w:val="num" w:pos="1671"/>
              </w:tabs>
              <w:jc w:val="center"/>
              <w:rPr>
                <w:rFonts w:cs="Arial"/>
              </w:rPr>
            </w:pPr>
          </w:p>
        </w:tc>
        <w:tc>
          <w:tcPr>
            <w:tcW w:w="1134" w:type="dxa"/>
            <w:vMerge/>
            <w:tcBorders>
              <w:left w:val="single" w:sz="4" w:space="0" w:color="auto"/>
              <w:right w:val="single" w:sz="4" w:space="0" w:color="auto"/>
            </w:tcBorders>
          </w:tcPr>
          <w:p w:rsidR="0058497B" w:rsidRPr="001338F3" w:rsidRDefault="0058497B" w:rsidP="00617F9C">
            <w:pPr>
              <w:tabs>
                <w:tab w:val="num" w:pos="1671"/>
              </w:tabs>
              <w:jc w:val="center"/>
              <w:rPr>
                <w:rFonts w:cs="Arial"/>
              </w:rPr>
            </w:pPr>
          </w:p>
        </w:tc>
      </w:tr>
      <w:tr w:rsidR="0058497B"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58497B" w:rsidRPr="00FD57AF" w:rsidRDefault="0058497B" w:rsidP="001142EE">
            <w:pPr>
              <w:pStyle w:val="ListParagraph"/>
              <w:numPr>
                <w:ilvl w:val="0"/>
                <w:numId w:val="25"/>
              </w:numPr>
              <w:ind w:left="284" w:hanging="284"/>
              <w:rPr>
                <w:rFonts w:cs="Arial"/>
              </w:rPr>
            </w:pPr>
            <w:r w:rsidRPr="001142EE">
              <w:rPr>
                <w:rFonts w:cs="Arial"/>
              </w:rPr>
              <w:t>Enhanced community benefits delivered e.g. training and employment opportunities; environmental and amenity improvements</w:t>
            </w:r>
          </w:p>
        </w:tc>
        <w:tc>
          <w:tcPr>
            <w:tcW w:w="5103" w:type="dxa"/>
            <w:tcBorders>
              <w:top w:val="single" w:sz="4" w:space="0" w:color="auto"/>
              <w:left w:val="single" w:sz="4" w:space="0" w:color="auto"/>
              <w:bottom w:val="single" w:sz="4" w:space="0" w:color="auto"/>
              <w:right w:val="single" w:sz="4" w:space="0" w:color="auto"/>
            </w:tcBorders>
          </w:tcPr>
          <w:p w:rsidR="0058497B" w:rsidRPr="00227385" w:rsidRDefault="0058497B" w:rsidP="001142EE">
            <w:pPr>
              <w:pStyle w:val="ListParagraph"/>
              <w:numPr>
                <w:ilvl w:val="0"/>
                <w:numId w:val="6"/>
              </w:numPr>
              <w:tabs>
                <w:tab w:val="num" w:pos="1671"/>
              </w:tabs>
              <w:ind w:left="317" w:hanging="317"/>
              <w:rPr>
                <w:rFonts w:cs="Arial"/>
              </w:rPr>
            </w:pPr>
            <w:r w:rsidRPr="00227385">
              <w:rPr>
                <w:rFonts w:cs="Arial"/>
              </w:rPr>
              <w:t>Implement Community Benefits policy</w:t>
            </w:r>
          </w:p>
          <w:p w:rsidR="0058497B" w:rsidRPr="00227385" w:rsidRDefault="0058497B" w:rsidP="001338F3">
            <w:pPr>
              <w:pStyle w:val="ListParagraph"/>
              <w:rPr>
                <w:rFonts w:cs="Arial"/>
              </w:rPr>
            </w:pPr>
          </w:p>
        </w:tc>
        <w:tc>
          <w:tcPr>
            <w:tcW w:w="1417" w:type="dxa"/>
            <w:vMerge/>
            <w:tcBorders>
              <w:left w:val="single" w:sz="4" w:space="0" w:color="auto"/>
              <w:right w:val="single" w:sz="4" w:space="0" w:color="auto"/>
            </w:tcBorders>
          </w:tcPr>
          <w:p w:rsidR="0058497B" w:rsidRPr="001338F3" w:rsidRDefault="0058497B" w:rsidP="001338F3">
            <w:pPr>
              <w:tabs>
                <w:tab w:val="num" w:pos="1671"/>
              </w:tabs>
              <w:rPr>
                <w:rFonts w:cs="Arial"/>
                <w:highlight w:val="yellow"/>
              </w:rPr>
            </w:pPr>
          </w:p>
        </w:tc>
        <w:tc>
          <w:tcPr>
            <w:tcW w:w="1843" w:type="dxa"/>
            <w:vMerge/>
            <w:tcBorders>
              <w:left w:val="single" w:sz="4" w:space="0" w:color="auto"/>
              <w:right w:val="single" w:sz="4" w:space="0" w:color="auto"/>
            </w:tcBorders>
          </w:tcPr>
          <w:p w:rsidR="0058497B" w:rsidRPr="001338F3" w:rsidRDefault="0058497B" w:rsidP="00F414D7">
            <w:pPr>
              <w:tabs>
                <w:tab w:val="num" w:pos="1671"/>
              </w:tabs>
              <w:jc w:val="center"/>
              <w:rPr>
                <w:rFonts w:cs="Arial"/>
              </w:rPr>
            </w:pPr>
          </w:p>
        </w:tc>
        <w:tc>
          <w:tcPr>
            <w:tcW w:w="1134" w:type="dxa"/>
            <w:vMerge/>
            <w:tcBorders>
              <w:left w:val="single" w:sz="4" w:space="0" w:color="auto"/>
              <w:right w:val="single" w:sz="4" w:space="0" w:color="auto"/>
            </w:tcBorders>
          </w:tcPr>
          <w:p w:rsidR="0058497B" w:rsidRPr="001338F3" w:rsidRDefault="0058497B" w:rsidP="00617F9C">
            <w:pPr>
              <w:tabs>
                <w:tab w:val="num" w:pos="1671"/>
              </w:tabs>
              <w:jc w:val="center"/>
              <w:rPr>
                <w:rFonts w:cs="Arial"/>
              </w:rPr>
            </w:pPr>
          </w:p>
        </w:tc>
      </w:tr>
      <w:tr w:rsidR="0058497B"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58497B" w:rsidRPr="001338F3" w:rsidRDefault="0058497B" w:rsidP="001142EE">
            <w:pPr>
              <w:pStyle w:val="ListParagraph"/>
              <w:numPr>
                <w:ilvl w:val="0"/>
                <w:numId w:val="25"/>
              </w:numPr>
              <w:ind w:left="284" w:hanging="284"/>
              <w:rPr>
                <w:rFonts w:cs="Arial"/>
              </w:rPr>
            </w:pPr>
            <w:r w:rsidRPr="001338F3">
              <w:rPr>
                <w:rFonts w:cs="Arial"/>
              </w:rPr>
              <w:t>Increases in job and training opportunities</w:t>
            </w:r>
          </w:p>
          <w:p w:rsidR="0058497B" w:rsidRPr="00FD57AF" w:rsidRDefault="0058497B" w:rsidP="00FD57AF">
            <w:pPr>
              <w:pStyle w:val="ListParagraph"/>
              <w:rPr>
                <w:rFonts w:cs="Arial"/>
              </w:rPr>
            </w:pPr>
          </w:p>
        </w:tc>
        <w:tc>
          <w:tcPr>
            <w:tcW w:w="5103" w:type="dxa"/>
            <w:tcBorders>
              <w:top w:val="single" w:sz="4" w:space="0" w:color="auto"/>
              <w:left w:val="single" w:sz="4" w:space="0" w:color="auto"/>
              <w:bottom w:val="single" w:sz="4" w:space="0" w:color="auto"/>
              <w:right w:val="single" w:sz="4" w:space="0" w:color="auto"/>
            </w:tcBorders>
          </w:tcPr>
          <w:p w:rsidR="0058497B" w:rsidRPr="00227385" w:rsidRDefault="0058497B" w:rsidP="001142EE">
            <w:pPr>
              <w:pStyle w:val="ListParagraph"/>
              <w:numPr>
                <w:ilvl w:val="0"/>
                <w:numId w:val="6"/>
              </w:numPr>
              <w:tabs>
                <w:tab w:val="num" w:pos="1671"/>
              </w:tabs>
              <w:ind w:left="317" w:hanging="317"/>
              <w:rPr>
                <w:rFonts w:cs="Arial"/>
              </w:rPr>
            </w:pPr>
            <w:r w:rsidRPr="00227385">
              <w:rPr>
                <w:rFonts w:cs="Arial"/>
              </w:rPr>
              <w:t>Effective leadership of the City Deal Skills and Employment Group and implementation of the CD Skills Investment Plan</w:t>
            </w:r>
          </w:p>
          <w:p w:rsidR="0058497B" w:rsidRPr="00227385" w:rsidRDefault="0058497B" w:rsidP="001338F3">
            <w:pPr>
              <w:pStyle w:val="ListParagraph"/>
              <w:rPr>
                <w:rFonts w:cs="Arial"/>
              </w:rPr>
            </w:pPr>
          </w:p>
        </w:tc>
        <w:tc>
          <w:tcPr>
            <w:tcW w:w="1417" w:type="dxa"/>
            <w:vMerge/>
            <w:tcBorders>
              <w:left w:val="single" w:sz="4" w:space="0" w:color="auto"/>
              <w:right w:val="single" w:sz="4" w:space="0" w:color="auto"/>
            </w:tcBorders>
          </w:tcPr>
          <w:p w:rsidR="0058497B" w:rsidRPr="001338F3" w:rsidRDefault="0058497B" w:rsidP="001338F3">
            <w:pPr>
              <w:tabs>
                <w:tab w:val="num" w:pos="1671"/>
              </w:tabs>
              <w:rPr>
                <w:rFonts w:cs="Arial"/>
                <w:highlight w:val="yellow"/>
              </w:rPr>
            </w:pPr>
          </w:p>
        </w:tc>
        <w:tc>
          <w:tcPr>
            <w:tcW w:w="1843" w:type="dxa"/>
            <w:vMerge/>
            <w:tcBorders>
              <w:left w:val="single" w:sz="4" w:space="0" w:color="auto"/>
              <w:right w:val="single" w:sz="4" w:space="0" w:color="auto"/>
            </w:tcBorders>
          </w:tcPr>
          <w:p w:rsidR="0058497B" w:rsidRPr="001338F3" w:rsidRDefault="0058497B" w:rsidP="00F414D7">
            <w:pPr>
              <w:tabs>
                <w:tab w:val="num" w:pos="1671"/>
              </w:tabs>
              <w:jc w:val="center"/>
              <w:rPr>
                <w:rFonts w:cs="Arial"/>
              </w:rPr>
            </w:pPr>
          </w:p>
        </w:tc>
        <w:tc>
          <w:tcPr>
            <w:tcW w:w="1134" w:type="dxa"/>
            <w:vMerge/>
            <w:tcBorders>
              <w:left w:val="single" w:sz="4" w:space="0" w:color="auto"/>
              <w:right w:val="single" w:sz="4" w:space="0" w:color="auto"/>
            </w:tcBorders>
          </w:tcPr>
          <w:p w:rsidR="0058497B" w:rsidRPr="001338F3" w:rsidRDefault="0058497B" w:rsidP="00617F9C">
            <w:pPr>
              <w:tabs>
                <w:tab w:val="num" w:pos="1671"/>
              </w:tabs>
              <w:jc w:val="center"/>
              <w:rPr>
                <w:rFonts w:cs="Arial"/>
              </w:rPr>
            </w:pPr>
          </w:p>
        </w:tc>
      </w:tr>
      <w:tr w:rsidR="0058497B"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58497B" w:rsidRDefault="0058497B" w:rsidP="009F2585">
            <w:pPr>
              <w:pStyle w:val="ListParagraph"/>
              <w:numPr>
                <w:ilvl w:val="0"/>
                <w:numId w:val="25"/>
              </w:numPr>
              <w:ind w:left="284" w:hanging="284"/>
              <w:rPr>
                <w:rFonts w:cs="Arial"/>
              </w:rPr>
            </w:pPr>
            <w:r>
              <w:rPr>
                <w:rFonts w:cs="Arial"/>
              </w:rPr>
              <w:t>Increase s</w:t>
            </w:r>
            <w:r w:rsidRPr="001338F3">
              <w:rPr>
                <w:rFonts w:cs="Arial"/>
              </w:rPr>
              <w:t>upply chain opportunities derived from investment</w:t>
            </w:r>
          </w:p>
          <w:p w:rsidR="0058497B" w:rsidRDefault="0058497B" w:rsidP="00FD57AF">
            <w:pPr>
              <w:rPr>
                <w:rFonts w:cs="Arial"/>
              </w:rPr>
            </w:pPr>
          </w:p>
          <w:p w:rsidR="0058497B" w:rsidRPr="00FD57AF" w:rsidRDefault="0058497B" w:rsidP="00FD57AF">
            <w:pPr>
              <w:rPr>
                <w:rFonts w:cs="Arial"/>
              </w:rPr>
            </w:pPr>
          </w:p>
          <w:p w:rsidR="0058497B" w:rsidRPr="001338F3" w:rsidRDefault="0058497B" w:rsidP="001142EE">
            <w:pPr>
              <w:pStyle w:val="ListParagraph"/>
              <w:ind w:left="284"/>
              <w:rPr>
                <w:rFonts w:cs="Arial"/>
              </w:rPr>
            </w:pPr>
          </w:p>
        </w:tc>
        <w:tc>
          <w:tcPr>
            <w:tcW w:w="5103" w:type="dxa"/>
            <w:tcBorders>
              <w:top w:val="single" w:sz="4" w:space="0" w:color="auto"/>
              <w:left w:val="single" w:sz="4" w:space="0" w:color="auto"/>
              <w:bottom w:val="single" w:sz="4" w:space="0" w:color="auto"/>
              <w:right w:val="single" w:sz="4" w:space="0" w:color="auto"/>
            </w:tcBorders>
          </w:tcPr>
          <w:p w:rsidR="0058497B" w:rsidRPr="00227385" w:rsidRDefault="0058497B" w:rsidP="00B15A6A">
            <w:pPr>
              <w:pStyle w:val="ListParagraph"/>
              <w:numPr>
                <w:ilvl w:val="0"/>
                <w:numId w:val="25"/>
              </w:numPr>
              <w:tabs>
                <w:tab w:val="left" w:pos="317"/>
              </w:tabs>
              <w:ind w:left="317" w:hanging="317"/>
              <w:rPr>
                <w:rFonts w:eastAsiaTheme="majorEastAsia" w:cs="Arial"/>
              </w:rPr>
            </w:pPr>
            <w:r w:rsidRPr="00227385">
              <w:rPr>
                <w:rFonts w:cs="Arial"/>
              </w:rPr>
              <w:t>CPP Partners review service delivery plans and seek to focus activity to maximise and ensure benefits realised from the City Deal investments</w:t>
            </w:r>
          </w:p>
        </w:tc>
        <w:tc>
          <w:tcPr>
            <w:tcW w:w="1417" w:type="dxa"/>
            <w:vMerge/>
            <w:tcBorders>
              <w:left w:val="single" w:sz="4" w:space="0" w:color="auto"/>
              <w:right w:val="single" w:sz="4" w:space="0" w:color="auto"/>
            </w:tcBorders>
          </w:tcPr>
          <w:p w:rsidR="0058497B" w:rsidRPr="001338F3" w:rsidRDefault="0058497B" w:rsidP="00662369">
            <w:pPr>
              <w:tabs>
                <w:tab w:val="num" w:pos="1671"/>
              </w:tabs>
              <w:jc w:val="center"/>
              <w:rPr>
                <w:rFonts w:cs="Arial"/>
                <w:highlight w:val="yellow"/>
              </w:rPr>
            </w:pPr>
          </w:p>
        </w:tc>
        <w:tc>
          <w:tcPr>
            <w:tcW w:w="1843" w:type="dxa"/>
            <w:vMerge/>
            <w:tcBorders>
              <w:left w:val="single" w:sz="4" w:space="0" w:color="auto"/>
              <w:right w:val="single" w:sz="4" w:space="0" w:color="auto"/>
            </w:tcBorders>
          </w:tcPr>
          <w:p w:rsidR="0058497B" w:rsidRPr="001338F3" w:rsidRDefault="0058497B" w:rsidP="00F414D7">
            <w:pPr>
              <w:tabs>
                <w:tab w:val="num" w:pos="1671"/>
              </w:tabs>
              <w:jc w:val="center"/>
              <w:rPr>
                <w:rFonts w:cs="Arial"/>
              </w:rPr>
            </w:pPr>
          </w:p>
        </w:tc>
        <w:tc>
          <w:tcPr>
            <w:tcW w:w="1134" w:type="dxa"/>
            <w:vMerge/>
            <w:tcBorders>
              <w:left w:val="single" w:sz="4" w:space="0" w:color="auto"/>
              <w:right w:val="single" w:sz="4" w:space="0" w:color="auto"/>
            </w:tcBorders>
          </w:tcPr>
          <w:p w:rsidR="0058497B" w:rsidRPr="001338F3" w:rsidRDefault="0058497B" w:rsidP="00617F9C">
            <w:pPr>
              <w:tabs>
                <w:tab w:val="num" w:pos="1671"/>
              </w:tabs>
              <w:jc w:val="center"/>
              <w:rPr>
                <w:rFonts w:cs="Arial"/>
              </w:rPr>
            </w:pPr>
          </w:p>
        </w:tc>
      </w:tr>
      <w:tr w:rsidR="0058497B"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58497B" w:rsidRPr="001338F3" w:rsidRDefault="0058497B" w:rsidP="006E63D7">
            <w:pPr>
              <w:pStyle w:val="ListParagraph"/>
              <w:numPr>
                <w:ilvl w:val="0"/>
                <w:numId w:val="7"/>
              </w:numPr>
              <w:tabs>
                <w:tab w:val="num" w:pos="1671"/>
              </w:tabs>
              <w:ind w:left="284" w:hanging="284"/>
              <w:rPr>
                <w:rFonts w:cs="Arial"/>
              </w:rPr>
            </w:pPr>
            <w:r w:rsidRPr="001338F3">
              <w:rPr>
                <w:rFonts w:cs="Arial"/>
              </w:rPr>
              <w:t>Leverage of private sector investment</w:t>
            </w:r>
          </w:p>
        </w:tc>
        <w:tc>
          <w:tcPr>
            <w:tcW w:w="5103" w:type="dxa"/>
            <w:tcBorders>
              <w:top w:val="single" w:sz="4" w:space="0" w:color="auto"/>
              <w:left w:val="single" w:sz="4" w:space="0" w:color="auto"/>
              <w:bottom w:val="single" w:sz="4" w:space="0" w:color="auto"/>
              <w:right w:val="single" w:sz="4" w:space="0" w:color="auto"/>
            </w:tcBorders>
          </w:tcPr>
          <w:p w:rsidR="0058497B" w:rsidRPr="001338F3" w:rsidRDefault="0058497B" w:rsidP="00B15A6A">
            <w:pPr>
              <w:pStyle w:val="ListParagraph"/>
              <w:numPr>
                <w:ilvl w:val="0"/>
                <w:numId w:val="7"/>
              </w:numPr>
              <w:ind w:left="317" w:hanging="317"/>
              <w:rPr>
                <w:rFonts w:cs="Arial"/>
              </w:rPr>
            </w:pPr>
            <w:r w:rsidRPr="001338F3">
              <w:rPr>
                <w:rFonts w:cs="Arial"/>
              </w:rPr>
              <w:t>Implement a strategic approach to supporting town centres, adopting a flexible approach to land and property use and development</w:t>
            </w:r>
          </w:p>
        </w:tc>
        <w:tc>
          <w:tcPr>
            <w:tcW w:w="1417" w:type="dxa"/>
            <w:vMerge/>
            <w:tcBorders>
              <w:left w:val="single" w:sz="4" w:space="0" w:color="auto"/>
              <w:bottom w:val="single" w:sz="4" w:space="0" w:color="auto"/>
              <w:right w:val="single" w:sz="4" w:space="0" w:color="auto"/>
            </w:tcBorders>
          </w:tcPr>
          <w:p w:rsidR="0058497B" w:rsidRPr="00914A9C" w:rsidRDefault="0058497B" w:rsidP="00662369">
            <w:pPr>
              <w:tabs>
                <w:tab w:val="num" w:pos="1671"/>
              </w:tabs>
              <w:jc w:val="center"/>
              <w:rPr>
                <w:rFonts w:cs="Arial"/>
              </w:rPr>
            </w:pPr>
          </w:p>
        </w:tc>
        <w:tc>
          <w:tcPr>
            <w:tcW w:w="1843" w:type="dxa"/>
            <w:vMerge/>
            <w:tcBorders>
              <w:left w:val="single" w:sz="4" w:space="0" w:color="auto"/>
              <w:bottom w:val="single" w:sz="4" w:space="0" w:color="auto"/>
              <w:right w:val="single" w:sz="4" w:space="0" w:color="auto"/>
            </w:tcBorders>
          </w:tcPr>
          <w:p w:rsidR="0058497B" w:rsidRPr="00914A9C" w:rsidRDefault="0058497B" w:rsidP="00550060">
            <w:pPr>
              <w:tabs>
                <w:tab w:val="num" w:pos="1671"/>
              </w:tabs>
              <w:jc w:val="center"/>
              <w:rPr>
                <w:rFonts w:cs="Arial"/>
              </w:rPr>
            </w:pPr>
          </w:p>
        </w:tc>
        <w:tc>
          <w:tcPr>
            <w:tcW w:w="1134" w:type="dxa"/>
            <w:vMerge/>
            <w:tcBorders>
              <w:left w:val="single" w:sz="4" w:space="0" w:color="auto"/>
              <w:bottom w:val="single" w:sz="4" w:space="0" w:color="auto"/>
              <w:right w:val="single" w:sz="4" w:space="0" w:color="auto"/>
            </w:tcBorders>
          </w:tcPr>
          <w:p w:rsidR="0058497B" w:rsidRDefault="0058497B" w:rsidP="00617F9C">
            <w:pPr>
              <w:tabs>
                <w:tab w:val="num" w:pos="1671"/>
              </w:tabs>
              <w:jc w:val="center"/>
              <w:rPr>
                <w:rFonts w:cs="Arial"/>
              </w:rPr>
            </w:pPr>
          </w:p>
        </w:tc>
      </w:tr>
      <w:tr w:rsidR="00CD394D" w:rsidRPr="001338F3" w:rsidTr="00521C50">
        <w:trPr>
          <w:trHeight w:val="674"/>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CD394D" w:rsidRPr="001338F3" w:rsidRDefault="00CD394D" w:rsidP="001142EE">
            <w:pPr>
              <w:pStyle w:val="ListParagraph"/>
              <w:numPr>
                <w:ilvl w:val="0"/>
                <w:numId w:val="7"/>
              </w:numPr>
              <w:tabs>
                <w:tab w:val="num" w:pos="1671"/>
              </w:tabs>
              <w:ind w:left="284" w:hanging="284"/>
              <w:rPr>
                <w:rFonts w:cs="Arial"/>
              </w:rPr>
            </w:pPr>
            <w:r w:rsidRPr="001338F3">
              <w:rPr>
                <w:rFonts w:cs="Arial"/>
              </w:rPr>
              <w:t>Confirmation of East Kilbride designation as Scotland’s Low Carbon Centre of Excellence</w:t>
            </w:r>
          </w:p>
        </w:tc>
        <w:tc>
          <w:tcPr>
            <w:tcW w:w="5103" w:type="dxa"/>
            <w:tcBorders>
              <w:top w:val="single" w:sz="4" w:space="0" w:color="auto"/>
              <w:left w:val="single" w:sz="4" w:space="0" w:color="auto"/>
              <w:bottom w:val="single" w:sz="4" w:space="0" w:color="auto"/>
              <w:right w:val="single" w:sz="4" w:space="0" w:color="auto"/>
            </w:tcBorders>
          </w:tcPr>
          <w:p w:rsidR="00CD394D" w:rsidRPr="001338F3" w:rsidRDefault="00CD394D" w:rsidP="001142EE">
            <w:pPr>
              <w:pStyle w:val="ListParagraph"/>
              <w:numPr>
                <w:ilvl w:val="0"/>
                <w:numId w:val="7"/>
              </w:numPr>
              <w:tabs>
                <w:tab w:val="num" w:pos="1671"/>
              </w:tabs>
              <w:ind w:left="317" w:hanging="317"/>
              <w:rPr>
                <w:rFonts w:cs="Arial"/>
              </w:rPr>
            </w:pPr>
            <w:r w:rsidRPr="001338F3">
              <w:rPr>
                <w:rFonts w:cs="Arial"/>
              </w:rPr>
              <w:t>Promotion of East Kilbride as a centre of excellence for low carbon technologies</w:t>
            </w:r>
          </w:p>
        </w:tc>
        <w:tc>
          <w:tcPr>
            <w:tcW w:w="1417" w:type="dxa"/>
            <w:vMerge w:val="restart"/>
            <w:tcBorders>
              <w:top w:val="single" w:sz="4" w:space="0" w:color="auto"/>
              <w:left w:val="single" w:sz="4" w:space="0" w:color="auto"/>
              <w:right w:val="single" w:sz="4" w:space="0" w:color="auto"/>
            </w:tcBorders>
          </w:tcPr>
          <w:p w:rsidR="00CD394D" w:rsidRPr="00914A9C" w:rsidRDefault="00CD394D" w:rsidP="001338F3">
            <w:pPr>
              <w:tabs>
                <w:tab w:val="num" w:pos="1671"/>
              </w:tabs>
              <w:rPr>
                <w:rFonts w:cs="Arial"/>
              </w:rPr>
            </w:pPr>
            <w:r w:rsidRPr="00914A9C">
              <w:rPr>
                <w:rFonts w:cs="Arial"/>
              </w:rPr>
              <w:t>March 2020</w:t>
            </w:r>
          </w:p>
        </w:tc>
        <w:tc>
          <w:tcPr>
            <w:tcW w:w="1843" w:type="dxa"/>
            <w:vMerge w:val="restart"/>
            <w:tcBorders>
              <w:top w:val="single" w:sz="4" w:space="0" w:color="auto"/>
              <w:left w:val="single" w:sz="4" w:space="0" w:color="auto"/>
              <w:right w:val="single" w:sz="4" w:space="0" w:color="auto"/>
            </w:tcBorders>
          </w:tcPr>
          <w:p w:rsidR="00CD394D" w:rsidRPr="00914A9C" w:rsidRDefault="00CD394D" w:rsidP="00550060">
            <w:pPr>
              <w:tabs>
                <w:tab w:val="num" w:pos="1671"/>
              </w:tabs>
              <w:jc w:val="center"/>
              <w:rPr>
                <w:rFonts w:cs="Arial"/>
              </w:rPr>
            </w:pPr>
            <w:r w:rsidRPr="00914A9C">
              <w:rPr>
                <w:rFonts w:cs="Arial"/>
              </w:rPr>
              <w:t>SLC Community and Enterprise</w:t>
            </w:r>
          </w:p>
          <w:p w:rsidR="00CD394D" w:rsidRPr="00914A9C" w:rsidRDefault="00CD394D" w:rsidP="00550060">
            <w:pPr>
              <w:tabs>
                <w:tab w:val="num" w:pos="1671"/>
              </w:tabs>
              <w:jc w:val="center"/>
              <w:rPr>
                <w:rFonts w:cs="Arial"/>
              </w:rPr>
            </w:pPr>
            <w:r w:rsidRPr="00914A9C">
              <w:rPr>
                <w:rFonts w:cs="Arial"/>
              </w:rPr>
              <w:t>Scottish Enterprise</w:t>
            </w:r>
          </w:p>
          <w:p w:rsidR="00CD394D" w:rsidRPr="00914A9C" w:rsidRDefault="00CD394D" w:rsidP="00550060">
            <w:pPr>
              <w:tabs>
                <w:tab w:val="num" w:pos="1671"/>
              </w:tabs>
              <w:jc w:val="center"/>
              <w:rPr>
                <w:rFonts w:cs="Arial"/>
              </w:rPr>
            </w:pPr>
          </w:p>
          <w:p w:rsidR="00CD394D" w:rsidRPr="00914A9C" w:rsidRDefault="00CD394D" w:rsidP="00550060">
            <w:pPr>
              <w:tabs>
                <w:tab w:val="num" w:pos="1671"/>
              </w:tabs>
              <w:jc w:val="center"/>
              <w:rPr>
                <w:rFonts w:cs="Arial"/>
              </w:rPr>
            </w:pPr>
            <w:r w:rsidRPr="00914A9C">
              <w:rPr>
                <w:rFonts w:cs="Arial"/>
              </w:rPr>
              <w:t>Skills Development Scotland</w:t>
            </w:r>
          </w:p>
        </w:tc>
        <w:tc>
          <w:tcPr>
            <w:tcW w:w="1134" w:type="dxa"/>
            <w:vMerge w:val="restart"/>
            <w:tcBorders>
              <w:top w:val="single" w:sz="4" w:space="0" w:color="auto"/>
              <w:left w:val="single" w:sz="4" w:space="0" w:color="auto"/>
              <w:right w:val="single" w:sz="4" w:space="0" w:color="auto"/>
            </w:tcBorders>
          </w:tcPr>
          <w:p w:rsidR="00CD394D" w:rsidRDefault="00CD394D" w:rsidP="00617F9C">
            <w:pPr>
              <w:tabs>
                <w:tab w:val="num" w:pos="1671"/>
              </w:tabs>
              <w:jc w:val="center"/>
              <w:rPr>
                <w:rFonts w:cs="Arial"/>
              </w:rPr>
            </w:pPr>
            <w:r>
              <w:rPr>
                <w:rFonts w:cs="Arial"/>
              </w:rPr>
              <w:t>2</w:t>
            </w:r>
          </w:p>
        </w:tc>
      </w:tr>
      <w:tr w:rsidR="00CD394D" w:rsidRPr="001338F3" w:rsidTr="00521C50">
        <w:trPr>
          <w:trHeight w:val="698"/>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CD394D" w:rsidRPr="001338F3" w:rsidRDefault="00CD394D" w:rsidP="001142EE">
            <w:pPr>
              <w:pStyle w:val="ListParagraph"/>
              <w:numPr>
                <w:ilvl w:val="0"/>
                <w:numId w:val="7"/>
              </w:numPr>
              <w:tabs>
                <w:tab w:val="num" w:pos="1671"/>
              </w:tabs>
              <w:ind w:left="284" w:hanging="284"/>
              <w:rPr>
                <w:rFonts w:cs="Arial"/>
              </w:rPr>
            </w:pPr>
            <w:r w:rsidRPr="001338F3">
              <w:rPr>
                <w:rFonts w:cs="Arial"/>
              </w:rPr>
              <w:t xml:space="preserve">Access funding to implement Task </w:t>
            </w:r>
            <w:r>
              <w:rPr>
                <w:rFonts w:cs="Arial"/>
              </w:rPr>
              <w:t>Force low carbon actions</w:t>
            </w:r>
          </w:p>
        </w:tc>
        <w:tc>
          <w:tcPr>
            <w:tcW w:w="5103" w:type="dxa"/>
            <w:tcBorders>
              <w:top w:val="single" w:sz="4" w:space="0" w:color="auto"/>
              <w:left w:val="single" w:sz="4" w:space="0" w:color="auto"/>
              <w:bottom w:val="single" w:sz="4" w:space="0" w:color="auto"/>
              <w:right w:val="single" w:sz="4" w:space="0" w:color="auto"/>
            </w:tcBorders>
          </w:tcPr>
          <w:p w:rsidR="00CD394D" w:rsidRPr="00FD57AF" w:rsidRDefault="00CD394D" w:rsidP="001142EE">
            <w:pPr>
              <w:pStyle w:val="ListParagraph"/>
              <w:numPr>
                <w:ilvl w:val="0"/>
                <w:numId w:val="7"/>
              </w:numPr>
              <w:tabs>
                <w:tab w:val="num" w:pos="1671"/>
              </w:tabs>
              <w:ind w:left="317" w:hanging="317"/>
              <w:rPr>
                <w:rFonts w:cs="Arial"/>
              </w:rPr>
            </w:pPr>
            <w:r w:rsidRPr="00FD57AF">
              <w:rPr>
                <w:rFonts w:cs="Arial"/>
              </w:rPr>
              <w:t>Delivery of the East Kilbride Task Force Action Plan</w:t>
            </w:r>
          </w:p>
        </w:tc>
        <w:tc>
          <w:tcPr>
            <w:tcW w:w="1417" w:type="dxa"/>
            <w:vMerge/>
            <w:tcBorders>
              <w:left w:val="single" w:sz="4" w:space="0" w:color="auto"/>
              <w:right w:val="single" w:sz="4" w:space="0" w:color="auto"/>
            </w:tcBorders>
          </w:tcPr>
          <w:p w:rsidR="00CD394D" w:rsidRPr="00914A9C" w:rsidRDefault="00CD394D" w:rsidP="001338F3">
            <w:pPr>
              <w:tabs>
                <w:tab w:val="num" w:pos="1671"/>
              </w:tabs>
              <w:rPr>
                <w:rFonts w:cs="Arial"/>
              </w:rPr>
            </w:pPr>
          </w:p>
        </w:tc>
        <w:tc>
          <w:tcPr>
            <w:tcW w:w="1843" w:type="dxa"/>
            <w:vMerge/>
            <w:tcBorders>
              <w:left w:val="single" w:sz="4" w:space="0" w:color="auto"/>
              <w:right w:val="single" w:sz="4" w:space="0" w:color="auto"/>
            </w:tcBorders>
          </w:tcPr>
          <w:p w:rsidR="00CD394D" w:rsidRPr="00914A9C" w:rsidRDefault="00CD394D" w:rsidP="00550060">
            <w:pPr>
              <w:tabs>
                <w:tab w:val="num" w:pos="1671"/>
              </w:tabs>
              <w:jc w:val="center"/>
              <w:rPr>
                <w:rFonts w:cs="Arial"/>
              </w:rPr>
            </w:pPr>
          </w:p>
        </w:tc>
        <w:tc>
          <w:tcPr>
            <w:tcW w:w="1134" w:type="dxa"/>
            <w:vMerge/>
            <w:tcBorders>
              <w:left w:val="single" w:sz="4" w:space="0" w:color="auto"/>
              <w:right w:val="single" w:sz="4" w:space="0" w:color="auto"/>
            </w:tcBorders>
          </w:tcPr>
          <w:p w:rsidR="00CD394D" w:rsidRDefault="00CD394D" w:rsidP="00617F9C">
            <w:pPr>
              <w:tabs>
                <w:tab w:val="num" w:pos="1671"/>
              </w:tabs>
              <w:jc w:val="center"/>
              <w:rPr>
                <w:rFonts w:cs="Arial"/>
              </w:rPr>
            </w:pPr>
          </w:p>
        </w:tc>
      </w:tr>
      <w:tr w:rsidR="00CD394D"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CD394D" w:rsidRPr="001338F3" w:rsidRDefault="00CD394D" w:rsidP="001142EE">
            <w:pPr>
              <w:pStyle w:val="ListParagraph"/>
              <w:numPr>
                <w:ilvl w:val="0"/>
                <w:numId w:val="7"/>
              </w:numPr>
              <w:tabs>
                <w:tab w:val="num" w:pos="1671"/>
              </w:tabs>
              <w:ind w:left="284" w:hanging="284"/>
              <w:rPr>
                <w:rFonts w:cs="Arial"/>
              </w:rPr>
            </w:pPr>
            <w:r w:rsidRPr="001338F3">
              <w:rPr>
                <w:rFonts w:cs="Arial"/>
              </w:rPr>
              <w:t>Implementation o</w:t>
            </w:r>
            <w:r>
              <w:rPr>
                <w:rFonts w:cs="Arial"/>
              </w:rPr>
              <w:t>f a range of property improvement</w:t>
            </w:r>
            <w:r w:rsidRPr="001338F3">
              <w:rPr>
                <w:rFonts w:cs="Arial"/>
              </w:rPr>
              <w:t xml:space="preserve"> projects to demonstrate means of achieving energy efficiency improvements</w:t>
            </w:r>
          </w:p>
          <w:p w:rsidR="00CD394D" w:rsidRPr="001338F3" w:rsidRDefault="00CD394D" w:rsidP="001142EE">
            <w:pPr>
              <w:pStyle w:val="ListParagraph"/>
              <w:ind w:left="284"/>
              <w:rPr>
                <w:rFonts w:cs="Arial"/>
              </w:rPr>
            </w:pPr>
          </w:p>
        </w:tc>
        <w:tc>
          <w:tcPr>
            <w:tcW w:w="5103" w:type="dxa"/>
            <w:tcBorders>
              <w:top w:val="single" w:sz="4" w:space="0" w:color="auto"/>
              <w:left w:val="single" w:sz="4" w:space="0" w:color="auto"/>
              <w:bottom w:val="single" w:sz="4" w:space="0" w:color="auto"/>
              <w:right w:val="single" w:sz="4" w:space="0" w:color="auto"/>
            </w:tcBorders>
          </w:tcPr>
          <w:p w:rsidR="00CD394D" w:rsidRPr="001338F3" w:rsidRDefault="00CD394D" w:rsidP="001142EE">
            <w:pPr>
              <w:pStyle w:val="ListParagraph"/>
              <w:numPr>
                <w:ilvl w:val="0"/>
                <w:numId w:val="7"/>
              </w:numPr>
              <w:ind w:left="317" w:hanging="317"/>
              <w:rPr>
                <w:rFonts w:cs="Arial"/>
              </w:rPr>
            </w:pPr>
            <w:r w:rsidRPr="001338F3">
              <w:rPr>
                <w:rFonts w:cs="Arial"/>
              </w:rPr>
              <w:t>Preparation of a Master Plan for the Scottish Enterprise Technology Park and Langlands West</w:t>
            </w:r>
          </w:p>
          <w:p w:rsidR="00CD394D" w:rsidRPr="001338F3" w:rsidRDefault="00CD394D" w:rsidP="001142EE">
            <w:pPr>
              <w:pStyle w:val="ListParagraph"/>
              <w:ind w:left="317"/>
              <w:rPr>
                <w:rFonts w:cs="Arial"/>
              </w:rPr>
            </w:pPr>
          </w:p>
        </w:tc>
        <w:tc>
          <w:tcPr>
            <w:tcW w:w="1417" w:type="dxa"/>
            <w:vMerge/>
            <w:tcBorders>
              <w:left w:val="single" w:sz="4" w:space="0" w:color="auto"/>
              <w:right w:val="single" w:sz="4" w:space="0" w:color="auto"/>
            </w:tcBorders>
          </w:tcPr>
          <w:p w:rsidR="00CD394D" w:rsidRPr="00914A9C" w:rsidRDefault="00CD394D" w:rsidP="001338F3">
            <w:pPr>
              <w:tabs>
                <w:tab w:val="num" w:pos="1671"/>
              </w:tabs>
              <w:rPr>
                <w:rFonts w:cs="Arial"/>
              </w:rPr>
            </w:pPr>
          </w:p>
        </w:tc>
        <w:tc>
          <w:tcPr>
            <w:tcW w:w="1843" w:type="dxa"/>
            <w:vMerge/>
            <w:tcBorders>
              <w:left w:val="single" w:sz="4" w:space="0" w:color="auto"/>
              <w:right w:val="single" w:sz="4" w:space="0" w:color="auto"/>
            </w:tcBorders>
          </w:tcPr>
          <w:p w:rsidR="00CD394D" w:rsidRPr="00914A9C" w:rsidRDefault="00CD394D" w:rsidP="00550060">
            <w:pPr>
              <w:tabs>
                <w:tab w:val="num" w:pos="1671"/>
              </w:tabs>
              <w:jc w:val="center"/>
              <w:rPr>
                <w:rFonts w:cs="Arial"/>
              </w:rPr>
            </w:pPr>
          </w:p>
        </w:tc>
        <w:tc>
          <w:tcPr>
            <w:tcW w:w="1134" w:type="dxa"/>
            <w:vMerge/>
            <w:tcBorders>
              <w:left w:val="single" w:sz="4" w:space="0" w:color="auto"/>
              <w:right w:val="single" w:sz="4" w:space="0" w:color="auto"/>
            </w:tcBorders>
          </w:tcPr>
          <w:p w:rsidR="00CD394D" w:rsidRDefault="00CD394D" w:rsidP="00617F9C">
            <w:pPr>
              <w:tabs>
                <w:tab w:val="num" w:pos="1671"/>
              </w:tabs>
              <w:jc w:val="center"/>
              <w:rPr>
                <w:rFonts w:cs="Arial"/>
              </w:rPr>
            </w:pPr>
          </w:p>
        </w:tc>
      </w:tr>
      <w:tr w:rsidR="00CD394D" w:rsidRPr="001338F3" w:rsidTr="00521C50">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CD394D" w:rsidRPr="001338F3" w:rsidRDefault="001D4F48" w:rsidP="006E63D7">
            <w:pPr>
              <w:pStyle w:val="ListParagraph"/>
              <w:numPr>
                <w:ilvl w:val="0"/>
                <w:numId w:val="7"/>
              </w:numPr>
              <w:tabs>
                <w:tab w:val="num" w:pos="1671"/>
              </w:tabs>
              <w:ind w:left="284" w:hanging="284"/>
              <w:rPr>
                <w:rFonts w:cs="Arial"/>
              </w:rPr>
            </w:pPr>
            <w:r>
              <w:rPr>
                <w:rFonts w:cs="Arial"/>
              </w:rPr>
              <w:t>Increasing local businesses’ awareness of the sustainability agenda</w:t>
            </w:r>
          </w:p>
        </w:tc>
        <w:tc>
          <w:tcPr>
            <w:tcW w:w="5103" w:type="dxa"/>
            <w:tcBorders>
              <w:top w:val="single" w:sz="4" w:space="0" w:color="auto"/>
              <w:left w:val="single" w:sz="4" w:space="0" w:color="auto"/>
              <w:bottom w:val="single" w:sz="4" w:space="0" w:color="auto"/>
              <w:right w:val="single" w:sz="4" w:space="0" w:color="auto"/>
            </w:tcBorders>
          </w:tcPr>
          <w:p w:rsidR="00CD394D" w:rsidRPr="001338F3" w:rsidRDefault="00CD394D" w:rsidP="00283578">
            <w:pPr>
              <w:pStyle w:val="ListParagraph"/>
              <w:numPr>
                <w:ilvl w:val="0"/>
                <w:numId w:val="7"/>
              </w:numPr>
              <w:tabs>
                <w:tab w:val="num" w:pos="1671"/>
              </w:tabs>
              <w:ind w:left="317" w:hanging="283"/>
              <w:rPr>
                <w:rFonts w:cs="Arial"/>
              </w:rPr>
            </w:pPr>
            <w:r w:rsidRPr="001338F3">
              <w:rPr>
                <w:rFonts w:cs="Arial"/>
              </w:rPr>
              <w:t>Increased take up, through effective marketing and promotion, among businesses of advice and support available towards increasing property efficienc</w:t>
            </w:r>
            <w:r>
              <w:rPr>
                <w:rFonts w:cs="Arial"/>
              </w:rPr>
              <w:t>y and reducing carbon emissions</w:t>
            </w:r>
            <w:r w:rsidRPr="001338F3">
              <w:rPr>
                <w:rFonts w:cs="Arial"/>
              </w:rPr>
              <w:t xml:space="preserve"> e</w:t>
            </w:r>
            <w:r>
              <w:rPr>
                <w:rFonts w:cs="Arial"/>
              </w:rPr>
              <w:t>.</w:t>
            </w:r>
            <w:r w:rsidRPr="001338F3">
              <w:rPr>
                <w:rFonts w:cs="Arial"/>
              </w:rPr>
              <w:t>g</w:t>
            </w:r>
            <w:r>
              <w:rPr>
                <w:rFonts w:cs="Arial"/>
              </w:rPr>
              <w:t>.</w:t>
            </w:r>
            <w:r w:rsidRPr="001338F3">
              <w:rPr>
                <w:rFonts w:cs="Arial"/>
              </w:rPr>
              <w:t xml:space="preserve"> from Zero Waste Scotland</w:t>
            </w:r>
          </w:p>
          <w:p w:rsidR="00CD394D" w:rsidRPr="001338F3" w:rsidRDefault="00CD394D" w:rsidP="00365827">
            <w:pPr>
              <w:pStyle w:val="ListParagraph"/>
              <w:ind w:left="379"/>
              <w:rPr>
                <w:rFonts w:cs="Arial"/>
              </w:rPr>
            </w:pPr>
          </w:p>
        </w:tc>
        <w:tc>
          <w:tcPr>
            <w:tcW w:w="1417" w:type="dxa"/>
            <w:vMerge/>
            <w:tcBorders>
              <w:left w:val="single" w:sz="4" w:space="0" w:color="auto"/>
              <w:bottom w:val="single" w:sz="4" w:space="0" w:color="auto"/>
              <w:right w:val="single" w:sz="4" w:space="0" w:color="auto"/>
            </w:tcBorders>
          </w:tcPr>
          <w:p w:rsidR="00CD394D" w:rsidRPr="00914A9C" w:rsidRDefault="00CD394D" w:rsidP="001338F3">
            <w:pPr>
              <w:tabs>
                <w:tab w:val="num" w:pos="1671"/>
              </w:tabs>
              <w:rPr>
                <w:rFonts w:cs="Arial"/>
              </w:rPr>
            </w:pPr>
          </w:p>
        </w:tc>
        <w:tc>
          <w:tcPr>
            <w:tcW w:w="1843" w:type="dxa"/>
            <w:vMerge/>
            <w:tcBorders>
              <w:left w:val="single" w:sz="4" w:space="0" w:color="auto"/>
              <w:bottom w:val="single" w:sz="4" w:space="0" w:color="auto"/>
              <w:right w:val="single" w:sz="4" w:space="0" w:color="auto"/>
            </w:tcBorders>
          </w:tcPr>
          <w:p w:rsidR="00CD394D" w:rsidRPr="00914A9C" w:rsidRDefault="00CD394D" w:rsidP="00550060">
            <w:pPr>
              <w:tabs>
                <w:tab w:val="num" w:pos="1671"/>
              </w:tabs>
              <w:jc w:val="center"/>
              <w:rPr>
                <w:rFonts w:cs="Arial"/>
              </w:rPr>
            </w:pPr>
          </w:p>
        </w:tc>
        <w:tc>
          <w:tcPr>
            <w:tcW w:w="1134" w:type="dxa"/>
            <w:vMerge/>
            <w:tcBorders>
              <w:left w:val="single" w:sz="4" w:space="0" w:color="auto"/>
              <w:bottom w:val="single" w:sz="4" w:space="0" w:color="auto"/>
              <w:right w:val="single" w:sz="4" w:space="0" w:color="auto"/>
            </w:tcBorders>
          </w:tcPr>
          <w:p w:rsidR="00CD394D" w:rsidRPr="001338F3" w:rsidRDefault="00CD394D" w:rsidP="00617F9C">
            <w:pPr>
              <w:tabs>
                <w:tab w:val="num" w:pos="1671"/>
              </w:tabs>
              <w:jc w:val="center"/>
              <w:rPr>
                <w:rFonts w:cs="Arial"/>
              </w:rPr>
            </w:pPr>
          </w:p>
        </w:tc>
      </w:tr>
    </w:tbl>
    <w:p w:rsidR="007B4647" w:rsidRDefault="007B4647" w:rsidP="007B4647">
      <w:pPr>
        <w:pStyle w:val="ListParagraph"/>
        <w:tabs>
          <w:tab w:val="left" w:pos="8222"/>
        </w:tabs>
        <w:ind w:left="851"/>
        <w:rPr>
          <w:rFonts w:cs="Arial"/>
          <w:b/>
          <w:sz w:val="16"/>
          <w:szCs w:val="16"/>
        </w:rPr>
      </w:pPr>
    </w:p>
    <w:p w:rsidR="007B4647" w:rsidRPr="00CA61BB" w:rsidRDefault="007B4647" w:rsidP="007B4647">
      <w:pPr>
        <w:pStyle w:val="ListParagraph"/>
        <w:numPr>
          <w:ilvl w:val="0"/>
          <w:numId w:val="30"/>
        </w:numPr>
        <w:ind w:left="0" w:firstLine="0"/>
        <w:rPr>
          <w:rFonts w:cs="Arial"/>
          <w:b/>
        </w:rPr>
      </w:pPr>
      <w:r w:rsidRPr="00CA61BB">
        <w:rPr>
          <w:rFonts w:cs="Arial"/>
          <w:b/>
        </w:rPr>
        <w:t>Family focused inc</w:t>
      </w:r>
      <w:r>
        <w:rPr>
          <w:rFonts w:cs="Arial"/>
          <w:b/>
        </w:rPr>
        <w:t>lusion strategy</w:t>
      </w:r>
      <w:r>
        <w:rPr>
          <w:rFonts w:cs="Arial"/>
          <w:b/>
        </w:rPr>
        <w:tab/>
      </w:r>
      <w:r>
        <w:rPr>
          <w:rFonts w:cs="Arial"/>
          <w:b/>
        </w:rPr>
        <w:tab/>
      </w:r>
      <w:r>
        <w:rPr>
          <w:rFonts w:cs="Arial"/>
          <w:b/>
        </w:rPr>
        <w:tab/>
      </w:r>
      <w:r>
        <w:rPr>
          <w:rFonts w:cs="Arial"/>
          <w:b/>
        </w:rPr>
        <w:tab/>
      </w:r>
      <w:r>
        <w:rPr>
          <w:rFonts w:cs="Arial"/>
          <w:b/>
        </w:rPr>
        <w:tab/>
        <w:t>5</w:t>
      </w:r>
      <w:r>
        <w:rPr>
          <w:rFonts w:cs="Arial"/>
          <w:b/>
        </w:rPr>
        <w:tab/>
        <w:t>Tackling h</w:t>
      </w:r>
      <w:r w:rsidRPr="00CA61BB">
        <w:rPr>
          <w:rFonts w:cs="Arial"/>
          <w:b/>
        </w:rPr>
        <w:t>ealth inequalities</w:t>
      </w:r>
    </w:p>
    <w:p w:rsidR="007B4647" w:rsidRPr="00CA61BB" w:rsidRDefault="007B4647" w:rsidP="007B4647">
      <w:pPr>
        <w:pStyle w:val="ListParagraph"/>
        <w:numPr>
          <w:ilvl w:val="0"/>
          <w:numId w:val="30"/>
        </w:numPr>
        <w:ind w:left="0" w:firstLine="0"/>
        <w:rPr>
          <w:rFonts w:cs="Arial"/>
          <w:b/>
        </w:rPr>
      </w:pPr>
      <w:r>
        <w:rPr>
          <w:rFonts w:cs="Arial"/>
          <w:b/>
        </w:rPr>
        <w:t>Supporting employment/</w:t>
      </w:r>
      <w:r w:rsidRPr="00CA61BB">
        <w:rPr>
          <w:rFonts w:cs="Arial"/>
          <w:b/>
        </w:rPr>
        <w:t>childcare</w:t>
      </w:r>
      <w:r w:rsidRPr="00CA61BB">
        <w:rPr>
          <w:rFonts w:cs="Arial"/>
          <w:b/>
        </w:rPr>
        <w:tab/>
      </w:r>
      <w:r>
        <w:rPr>
          <w:rFonts w:cs="Arial"/>
          <w:b/>
        </w:rPr>
        <w:tab/>
      </w:r>
      <w:r w:rsidRPr="00CA61BB">
        <w:rPr>
          <w:rFonts w:cs="Arial"/>
          <w:b/>
        </w:rPr>
        <w:tab/>
      </w:r>
      <w:r w:rsidRPr="00CA61BB">
        <w:rPr>
          <w:rFonts w:cs="Arial"/>
          <w:b/>
        </w:rPr>
        <w:tab/>
      </w:r>
      <w:r>
        <w:rPr>
          <w:rFonts w:cs="Arial"/>
          <w:b/>
        </w:rPr>
        <w:tab/>
      </w:r>
      <w:r w:rsidRPr="00CA61BB">
        <w:rPr>
          <w:rFonts w:cs="Arial"/>
          <w:b/>
        </w:rPr>
        <w:t>6</w:t>
      </w:r>
      <w:r w:rsidRPr="00CA61BB">
        <w:rPr>
          <w:rFonts w:cs="Arial"/>
          <w:b/>
        </w:rPr>
        <w:tab/>
        <w:t>Supporting safeguarding measures</w:t>
      </w:r>
    </w:p>
    <w:p w:rsidR="007B4647" w:rsidRPr="00CA61BB" w:rsidRDefault="007B4647" w:rsidP="007B4647">
      <w:pPr>
        <w:pStyle w:val="ListParagraph"/>
        <w:numPr>
          <w:ilvl w:val="0"/>
          <w:numId w:val="30"/>
        </w:numPr>
        <w:ind w:left="0" w:firstLine="0"/>
        <w:rPr>
          <w:rFonts w:cs="Arial"/>
          <w:b/>
        </w:rPr>
      </w:pPr>
      <w:r w:rsidRPr="00CA61BB">
        <w:rPr>
          <w:rFonts w:cs="Arial"/>
          <w:b/>
        </w:rPr>
        <w:t>Improving housing quality</w:t>
      </w:r>
      <w:r w:rsidRPr="00CA61BB">
        <w:rPr>
          <w:rFonts w:cs="Arial"/>
          <w:b/>
        </w:rPr>
        <w:tab/>
      </w:r>
      <w:r w:rsidRPr="00CA61BB">
        <w:rPr>
          <w:rFonts w:cs="Arial"/>
          <w:b/>
        </w:rPr>
        <w:tab/>
      </w:r>
      <w:r w:rsidRPr="00CA61BB">
        <w:rPr>
          <w:rFonts w:cs="Arial"/>
          <w:b/>
        </w:rPr>
        <w:tab/>
      </w:r>
      <w:r w:rsidRPr="00CA61BB">
        <w:rPr>
          <w:rFonts w:cs="Arial"/>
          <w:b/>
        </w:rPr>
        <w:tab/>
      </w:r>
      <w:r w:rsidRPr="00CA61BB">
        <w:rPr>
          <w:rFonts w:cs="Arial"/>
          <w:b/>
        </w:rPr>
        <w:tab/>
      </w:r>
      <w:r w:rsidRPr="00CA61BB">
        <w:rPr>
          <w:rFonts w:cs="Arial"/>
          <w:b/>
        </w:rPr>
        <w:tab/>
        <w:t>7</w:t>
      </w:r>
      <w:r w:rsidRPr="00CA61BB">
        <w:rPr>
          <w:rFonts w:cs="Arial"/>
          <w:b/>
        </w:rPr>
        <w:tab/>
        <w:t>Improving local environment</w:t>
      </w:r>
    </w:p>
    <w:p w:rsidR="007B4647" w:rsidRPr="00CA61BB" w:rsidRDefault="007B4647" w:rsidP="007B4647">
      <w:pPr>
        <w:pStyle w:val="ListParagraph"/>
        <w:numPr>
          <w:ilvl w:val="0"/>
          <w:numId w:val="30"/>
        </w:numPr>
        <w:ind w:left="0" w:firstLine="0"/>
        <w:rPr>
          <w:rFonts w:cs="Arial"/>
          <w:b/>
        </w:rPr>
      </w:pPr>
      <w:r w:rsidRPr="00CA61BB">
        <w:rPr>
          <w:rFonts w:cs="Arial"/>
          <w:b/>
        </w:rPr>
        <w:t>Supporting education, skills, development – young people</w:t>
      </w:r>
    </w:p>
    <w:p w:rsidR="007B4647" w:rsidRDefault="007B4647" w:rsidP="007B4647">
      <w:pPr>
        <w:pStyle w:val="ListParagraph"/>
        <w:tabs>
          <w:tab w:val="left" w:pos="8222"/>
        </w:tabs>
        <w:ind w:left="851"/>
        <w:rPr>
          <w:rFonts w:cs="Arial"/>
          <w:b/>
          <w:sz w:val="16"/>
          <w:szCs w:val="16"/>
        </w:rPr>
      </w:pPr>
    </w:p>
    <w:p w:rsidR="006F2179" w:rsidRDefault="006F2179">
      <w:pPr>
        <w:ind w:firstLine="360"/>
        <w:rPr>
          <w:rFonts w:cs="Arial"/>
          <w:b/>
          <w:sz w:val="16"/>
          <w:szCs w:val="16"/>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1E0" w:firstRow="1" w:lastRow="1" w:firstColumn="1" w:lastColumn="1" w:noHBand="0" w:noVBand="0"/>
      </w:tblPr>
      <w:tblGrid>
        <w:gridCol w:w="14425"/>
      </w:tblGrid>
      <w:tr w:rsidR="00A570DF" w:rsidRPr="001338F3" w:rsidTr="00521C50">
        <w:trPr>
          <w:trHeight w:val="384"/>
        </w:trPr>
        <w:tc>
          <w:tcPr>
            <w:tcW w:w="14425" w:type="dxa"/>
            <w:tcBorders>
              <w:top w:val="nil"/>
              <w:left w:val="nil"/>
              <w:bottom w:val="nil"/>
              <w:right w:val="nil"/>
            </w:tcBorders>
            <w:shd w:val="clear" w:color="auto" w:fill="auto"/>
          </w:tcPr>
          <w:p w:rsidR="00A570DF" w:rsidRPr="001338F3" w:rsidRDefault="00A570DF" w:rsidP="002B0A63">
            <w:pPr>
              <w:pStyle w:val="ListBullet"/>
              <w:numPr>
                <w:ilvl w:val="0"/>
                <w:numId w:val="0"/>
              </w:numPr>
              <w:tabs>
                <w:tab w:val="left" w:pos="720"/>
              </w:tabs>
              <w:rPr>
                <w:rFonts w:ascii="Arial" w:hAnsi="Arial" w:cs="Arial"/>
                <w:b/>
                <w:sz w:val="22"/>
                <w:szCs w:val="22"/>
              </w:rPr>
            </w:pPr>
            <w:r>
              <w:rPr>
                <w:rFonts w:ascii="Arial" w:hAnsi="Arial" w:cs="Arial"/>
                <w:b/>
                <w:sz w:val="22"/>
                <w:szCs w:val="22"/>
              </w:rPr>
              <w:t>PIP – Sustainable and Inclusive Economic Growth</w:t>
            </w:r>
          </w:p>
        </w:tc>
      </w:tr>
      <w:tr w:rsidR="001338F3" w:rsidRPr="001338F3" w:rsidTr="00521C50">
        <w:trPr>
          <w:trHeight w:val="384"/>
        </w:trPr>
        <w:tc>
          <w:tcPr>
            <w:tcW w:w="14425" w:type="dxa"/>
            <w:tcBorders>
              <w:top w:val="single" w:sz="4" w:space="0" w:color="auto"/>
              <w:left w:val="single" w:sz="4" w:space="0" w:color="auto"/>
              <w:bottom w:val="single" w:sz="4" w:space="0" w:color="auto"/>
              <w:right w:val="single" w:sz="4" w:space="0" w:color="auto"/>
            </w:tcBorders>
            <w:shd w:val="clear" w:color="auto" w:fill="FFFF00"/>
          </w:tcPr>
          <w:p w:rsidR="001338F3" w:rsidRPr="001338F3" w:rsidRDefault="001338F3" w:rsidP="00C1525E">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Priority Outcome</w:t>
            </w:r>
            <w:r w:rsidR="004F40B2">
              <w:rPr>
                <w:rFonts w:ascii="Arial" w:hAnsi="Arial" w:cs="Arial"/>
                <w:b/>
                <w:sz w:val="22"/>
                <w:szCs w:val="22"/>
              </w:rPr>
              <w:t xml:space="preserve"> 2</w:t>
            </w:r>
            <w:r w:rsidR="00C1525E">
              <w:rPr>
                <w:rFonts w:ascii="Arial" w:hAnsi="Arial" w:cs="Arial"/>
                <w:b/>
                <w:sz w:val="22"/>
                <w:szCs w:val="22"/>
              </w:rPr>
              <w:t>:</w:t>
            </w:r>
            <w:r w:rsidR="004F40B2">
              <w:rPr>
                <w:rFonts w:ascii="Arial" w:hAnsi="Arial" w:cs="Arial"/>
                <w:b/>
                <w:sz w:val="22"/>
                <w:szCs w:val="22"/>
              </w:rPr>
              <w:t xml:space="preserve"> </w:t>
            </w:r>
            <w:r w:rsidRPr="001338F3">
              <w:rPr>
                <w:rFonts w:ascii="Arial" w:hAnsi="Arial" w:cs="Arial"/>
                <w:b/>
                <w:sz w:val="22"/>
                <w:szCs w:val="22"/>
              </w:rPr>
              <w:t>Employment and further edu</w:t>
            </w:r>
            <w:r w:rsidR="0087185A">
              <w:rPr>
                <w:rFonts w:ascii="Arial" w:hAnsi="Arial" w:cs="Arial"/>
                <w:b/>
                <w:sz w:val="22"/>
                <w:szCs w:val="22"/>
              </w:rPr>
              <w:t>cation opportunities are maximis</w:t>
            </w:r>
            <w:r w:rsidRPr="001338F3">
              <w:rPr>
                <w:rFonts w:ascii="Arial" w:hAnsi="Arial" w:cs="Arial"/>
                <w:b/>
                <w:sz w:val="22"/>
                <w:szCs w:val="22"/>
              </w:rPr>
              <w:t>ed for South Lanarkshire’s young people</w:t>
            </w:r>
          </w:p>
        </w:tc>
      </w:tr>
      <w:tr w:rsidR="001338F3" w:rsidRPr="001338F3" w:rsidTr="00521C50">
        <w:tblPrEx>
          <w:shd w:val="clear" w:color="auto" w:fill="auto"/>
        </w:tblPrEx>
        <w:trPr>
          <w:trHeight w:val="344"/>
        </w:trPr>
        <w:tc>
          <w:tcPr>
            <w:tcW w:w="14425" w:type="dxa"/>
            <w:tcBorders>
              <w:top w:val="single" w:sz="4" w:space="0" w:color="auto"/>
              <w:left w:val="single" w:sz="4" w:space="0" w:color="auto"/>
              <w:bottom w:val="single" w:sz="4" w:space="0" w:color="auto"/>
              <w:right w:val="single" w:sz="4" w:space="0" w:color="auto"/>
            </w:tcBorders>
            <w:shd w:val="clear" w:color="auto" w:fill="FFFFFF" w:themeFill="background1"/>
          </w:tcPr>
          <w:p w:rsidR="001338F3" w:rsidRPr="001338F3" w:rsidRDefault="001338F3" w:rsidP="001338F3">
            <w:pPr>
              <w:pStyle w:val="ListBullet"/>
              <w:numPr>
                <w:ilvl w:val="0"/>
                <w:numId w:val="0"/>
              </w:numPr>
              <w:rPr>
                <w:rFonts w:ascii="Arial" w:hAnsi="Arial" w:cs="Arial"/>
                <w:b/>
                <w:sz w:val="22"/>
                <w:szCs w:val="22"/>
              </w:rPr>
            </w:pPr>
            <w:r w:rsidRPr="001338F3">
              <w:rPr>
                <w:rFonts w:ascii="Arial" w:hAnsi="Arial" w:cs="Arial"/>
                <w:b/>
                <w:sz w:val="22"/>
                <w:szCs w:val="22"/>
              </w:rPr>
              <w:t>Rationale: Developing the Young Workforce Initiative in South Lanarkshire</w:t>
            </w:r>
          </w:p>
          <w:p w:rsidR="001338F3" w:rsidRDefault="001338F3" w:rsidP="001338F3">
            <w:pPr>
              <w:pStyle w:val="ListBullet"/>
              <w:numPr>
                <w:ilvl w:val="0"/>
                <w:numId w:val="0"/>
              </w:numPr>
              <w:rPr>
                <w:rFonts w:ascii="Arial" w:hAnsi="Arial" w:cs="Arial"/>
                <w:sz w:val="22"/>
                <w:szCs w:val="22"/>
              </w:rPr>
            </w:pPr>
            <w:r w:rsidRPr="001338F3">
              <w:rPr>
                <w:rFonts w:ascii="Arial" w:hAnsi="Arial" w:cs="Arial"/>
                <w:sz w:val="22"/>
                <w:szCs w:val="22"/>
              </w:rPr>
              <w:t>The Scottish Government has set out its ambition to improve youth employment levels beyond where they were pre-2008.  This requires a significant examination of how we provide, promote, and value a range of learning which leads to a wide variety of jobs.  It also means ensuring that all young people whatever the barriers they face have fair access to these opportunities and are supported to achieve their full potential in education and in work.</w:t>
            </w:r>
          </w:p>
          <w:p w:rsidR="004F40B2" w:rsidRPr="001338F3" w:rsidRDefault="004F40B2" w:rsidP="001338F3">
            <w:pPr>
              <w:pStyle w:val="ListBullet"/>
              <w:numPr>
                <w:ilvl w:val="0"/>
                <w:numId w:val="0"/>
              </w:numPr>
              <w:rPr>
                <w:rFonts w:ascii="Arial" w:hAnsi="Arial" w:cs="Arial"/>
                <w:sz w:val="22"/>
                <w:szCs w:val="22"/>
              </w:rPr>
            </w:pPr>
          </w:p>
          <w:p w:rsidR="001338F3" w:rsidRPr="001338F3" w:rsidRDefault="001338F3" w:rsidP="001338F3">
            <w:pPr>
              <w:pStyle w:val="ListBullet"/>
              <w:numPr>
                <w:ilvl w:val="0"/>
                <w:numId w:val="0"/>
              </w:numPr>
              <w:rPr>
                <w:rFonts w:ascii="Arial" w:hAnsi="Arial" w:cs="Arial"/>
                <w:sz w:val="22"/>
                <w:szCs w:val="22"/>
              </w:rPr>
            </w:pPr>
            <w:r w:rsidRPr="001338F3">
              <w:rPr>
                <w:rFonts w:ascii="Arial" w:hAnsi="Arial" w:cs="Arial"/>
                <w:sz w:val="22"/>
                <w:szCs w:val="22"/>
              </w:rPr>
              <w:t>Fundamentally, this is about ensuring a work relevant educational experience for our young people.  This is about valuing and understanding what a rich blend of learning, including vocational education, can offer.  It is about employers playing an active role, both shaping and benefiting from Scotland’s education system by helping to create the talent pool they need and recruiting young employees.  Ultimately, it is about the future workforce, our young people, making informed and ambitious choices about jobs and careers, ready to take their place in the world as effective contributors.</w:t>
            </w:r>
          </w:p>
          <w:p w:rsidR="001338F3" w:rsidRPr="001338F3" w:rsidRDefault="001338F3" w:rsidP="001338F3">
            <w:pPr>
              <w:pStyle w:val="ListBullet"/>
              <w:numPr>
                <w:ilvl w:val="0"/>
                <w:numId w:val="0"/>
              </w:numPr>
              <w:tabs>
                <w:tab w:val="left" w:pos="720"/>
              </w:tabs>
              <w:rPr>
                <w:rFonts w:ascii="Arial" w:hAnsi="Arial" w:cs="Arial"/>
                <w:b/>
                <w:sz w:val="22"/>
                <w:szCs w:val="22"/>
              </w:rPr>
            </w:pPr>
          </w:p>
          <w:p w:rsidR="001338F3" w:rsidRPr="001338F3" w:rsidRDefault="001338F3" w:rsidP="001338F3">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Context :</w:t>
            </w:r>
          </w:p>
          <w:p w:rsidR="001338F3" w:rsidRPr="001338F3" w:rsidRDefault="001338F3" w:rsidP="001338F3">
            <w:pPr>
              <w:pStyle w:val="ListBullet"/>
              <w:numPr>
                <w:ilvl w:val="0"/>
                <w:numId w:val="0"/>
              </w:numPr>
              <w:tabs>
                <w:tab w:val="left" w:pos="720"/>
              </w:tabs>
              <w:rPr>
                <w:rFonts w:ascii="Arial" w:hAnsi="Arial" w:cs="Arial"/>
                <w:sz w:val="22"/>
                <w:szCs w:val="22"/>
              </w:rPr>
            </w:pPr>
            <w:r w:rsidRPr="001338F3">
              <w:rPr>
                <w:rFonts w:ascii="Arial" w:hAnsi="Arial" w:cs="Arial"/>
                <w:sz w:val="22"/>
                <w:szCs w:val="22"/>
              </w:rPr>
              <w:t>School leaver destinations have been improving in South Lanarkshire over the last 5 years with the most recent S</w:t>
            </w:r>
            <w:r w:rsidR="00F06780">
              <w:rPr>
                <w:rFonts w:ascii="Arial" w:hAnsi="Arial" w:cs="Arial"/>
                <w:sz w:val="22"/>
                <w:szCs w:val="22"/>
              </w:rPr>
              <w:t>chool Leaver Destination Return</w:t>
            </w:r>
            <w:r w:rsidRPr="001338F3">
              <w:rPr>
                <w:rFonts w:ascii="Arial" w:hAnsi="Arial" w:cs="Arial"/>
                <w:sz w:val="22"/>
                <w:szCs w:val="22"/>
              </w:rPr>
              <w:t xml:space="preserve"> initial data showing that 94.1% of our young people progressed from school into a positive destination. </w:t>
            </w:r>
            <w:r w:rsidR="00DC7B60">
              <w:rPr>
                <w:rFonts w:ascii="Arial" w:hAnsi="Arial" w:cs="Arial"/>
                <w:sz w:val="22"/>
                <w:szCs w:val="22"/>
              </w:rPr>
              <w:t xml:space="preserve"> </w:t>
            </w:r>
            <w:r w:rsidRPr="001338F3">
              <w:rPr>
                <w:rFonts w:ascii="Arial" w:hAnsi="Arial" w:cs="Arial"/>
                <w:sz w:val="22"/>
                <w:szCs w:val="22"/>
              </w:rPr>
              <w:t xml:space="preserve">We are also improving our position at the Scottish level. </w:t>
            </w:r>
          </w:p>
          <w:p w:rsidR="001338F3" w:rsidRPr="001338F3" w:rsidRDefault="001338F3" w:rsidP="001338F3">
            <w:pPr>
              <w:pStyle w:val="ListBullet"/>
              <w:numPr>
                <w:ilvl w:val="0"/>
                <w:numId w:val="0"/>
              </w:numPr>
              <w:tabs>
                <w:tab w:val="left" w:pos="720"/>
              </w:tabs>
              <w:rPr>
                <w:rFonts w:ascii="Arial" w:hAnsi="Arial" w:cs="Arial"/>
                <w:sz w:val="22"/>
                <w:szCs w:val="22"/>
              </w:rPr>
            </w:pPr>
          </w:p>
          <w:p w:rsidR="001338F3" w:rsidRDefault="001338F3" w:rsidP="001338F3">
            <w:pPr>
              <w:pStyle w:val="ListBullet"/>
              <w:numPr>
                <w:ilvl w:val="0"/>
                <w:numId w:val="0"/>
              </w:numPr>
              <w:tabs>
                <w:tab w:val="left" w:pos="720"/>
              </w:tabs>
              <w:rPr>
                <w:rFonts w:ascii="Arial" w:hAnsi="Arial" w:cs="Arial"/>
                <w:sz w:val="22"/>
                <w:szCs w:val="22"/>
              </w:rPr>
            </w:pPr>
            <w:r w:rsidRPr="001338F3">
              <w:rPr>
                <w:rFonts w:ascii="Arial" w:hAnsi="Arial" w:cs="Arial"/>
                <w:sz w:val="22"/>
                <w:szCs w:val="22"/>
              </w:rPr>
              <w:t>We know however that there is scope for further improvement in relation to young peopl</w:t>
            </w:r>
            <w:r w:rsidR="00F06780">
              <w:rPr>
                <w:rFonts w:ascii="Arial" w:hAnsi="Arial" w:cs="Arial"/>
                <w:sz w:val="22"/>
                <w:szCs w:val="22"/>
              </w:rPr>
              <w:t>e</w:t>
            </w:r>
            <w:r w:rsidRPr="001338F3">
              <w:rPr>
                <w:rFonts w:ascii="Arial" w:hAnsi="Arial" w:cs="Arial"/>
                <w:sz w:val="22"/>
                <w:szCs w:val="22"/>
              </w:rPr>
              <w:t>, in particular those with barriers such as care leavers and young people from more deprived ba</w:t>
            </w:r>
            <w:r w:rsidR="00F06780">
              <w:rPr>
                <w:rFonts w:ascii="Arial" w:hAnsi="Arial" w:cs="Arial"/>
                <w:sz w:val="22"/>
                <w:szCs w:val="22"/>
              </w:rPr>
              <w:t>ckgrounds and communities</w:t>
            </w:r>
            <w:r w:rsidRPr="001338F3">
              <w:rPr>
                <w:rFonts w:ascii="Arial" w:hAnsi="Arial" w:cs="Arial"/>
                <w:sz w:val="22"/>
                <w:szCs w:val="22"/>
              </w:rPr>
              <w:t xml:space="preserve">. </w:t>
            </w:r>
            <w:r w:rsidR="00DC7B60">
              <w:rPr>
                <w:rFonts w:ascii="Arial" w:hAnsi="Arial" w:cs="Arial"/>
                <w:sz w:val="22"/>
                <w:szCs w:val="22"/>
              </w:rPr>
              <w:t xml:space="preserve"> </w:t>
            </w:r>
            <w:r w:rsidRPr="001338F3">
              <w:rPr>
                <w:rFonts w:ascii="Arial" w:hAnsi="Arial" w:cs="Arial"/>
                <w:sz w:val="22"/>
                <w:szCs w:val="22"/>
              </w:rPr>
              <w:t>This includes achieving improvements in relation to sustained destinations</w:t>
            </w:r>
            <w:r w:rsidR="0072532C">
              <w:rPr>
                <w:rFonts w:ascii="Arial" w:hAnsi="Arial" w:cs="Arial"/>
                <w:sz w:val="22"/>
                <w:szCs w:val="22"/>
              </w:rPr>
              <w:t>,</w:t>
            </w:r>
            <w:r w:rsidRPr="001338F3">
              <w:rPr>
                <w:rFonts w:ascii="Arial" w:hAnsi="Arial" w:cs="Arial"/>
                <w:sz w:val="22"/>
                <w:szCs w:val="22"/>
              </w:rPr>
              <w:t xml:space="preserve"> reducing the gap in relation to youth employment between the most and least deprived and between care leavers and other young people. </w:t>
            </w:r>
          </w:p>
          <w:p w:rsidR="004F40B2" w:rsidRPr="001338F3" w:rsidRDefault="004F40B2" w:rsidP="001338F3">
            <w:pPr>
              <w:pStyle w:val="ListBullet"/>
              <w:numPr>
                <w:ilvl w:val="0"/>
                <w:numId w:val="0"/>
              </w:numPr>
              <w:tabs>
                <w:tab w:val="left" w:pos="720"/>
              </w:tabs>
              <w:rPr>
                <w:rFonts w:ascii="Arial" w:hAnsi="Arial" w:cs="Arial"/>
                <w:sz w:val="22"/>
                <w:szCs w:val="22"/>
              </w:rPr>
            </w:pPr>
          </w:p>
          <w:p w:rsidR="001338F3" w:rsidRPr="001338F3" w:rsidRDefault="001338F3" w:rsidP="001338F3">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 xml:space="preserve">Drivers: </w:t>
            </w:r>
          </w:p>
          <w:p w:rsidR="004F40B2" w:rsidRPr="001338F3" w:rsidRDefault="001338F3" w:rsidP="00AD5A50">
            <w:pPr>
              <w:pStyle w:val="ListBullet"/>
              <w:numPr>
                <w:ilvl w:val="0"/>
                <w:numId w:val="0"/>
              </w:numPr>
              <w:tabs>
                <w:tab w:val="left" w:pos="720"/>
              </w:tabs>
              <w:rPr>
                <w:rFonts w:ascii="Arial" w:hAnsi="Arial" w:cs="Arial"/>
                <w:b/>
                <w:sz w:val="22"/>
                <w:szCs w:val="22"/>
              </w:rPr>
            </w:pPr>
            <w:r w:rsidRPr="001338F3">
              <w:rPr>
                <w:rFonts w:ascii="Arial" w:hAnsi="Arial" w:cs="Arial"/>
                <w:sz w:val="22"/>
                <w:szCs w:val="22"/>
              </w:rPr>
              <w:t>Scottish Government Economic Strategy, Scottish Labour Market Strategy, Scottish Government’s Youth Employment Strategy, Developing the Young Workforce</w:t>
            </w:r>
            <w:r w:rsidR="00CD7FC8">
              <w:rPr>
                <w:rFonts w:ascii="Arial" w:hAnsi="Arial" w:cs="Arial"/>
                <w:sz w:val="22"/>
                <w:szCs w:val="22"/>
              </w:rPr>
              <w:t>.</w:t>
            </w:r>
          </w:p>
        </w:tc>
      </w:tr>
    </w:tbl>
    <w:p w:rsidR="004D267B" w:rsidRDefault="004D267B">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1789"/>
        <w:gridCol w:w="2066"/>
        <w:gridCol w:w="2256"/>
        <w:gridCol w:w="2369"/>
        <w:gridCol w:w="2381"/>
      </w:tblGrid>
      <w:tr w:rsidR="001338F3" w:rsidRPr="001338F3" w:rsidTr="00521C50">
        <w:trPr>
          <w:trHeight w:val="344"/>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38F3" w:rsidRPr="001338F3" w:rsidRDefault="001338F3" w:rsidP="0039506C">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We will measure progress towards this priority outcome with reference to the following indicators and targets</w:t>
            </w:r>
          </w:p>
        </w:tc>
      </w:tr>
      <w:tr w:rsidR="00914A9C" w:rsidRPr="001338F3" w:rsidTr="00521C50">
        <w:tblPrEx>
          <w:shd w:val="clear" w:color="auto" w:fill="66CCFF"/>
        </w:tblPrEx>
        <w:tc>
          <w:tcPr>
            <w:tcW w:w="356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B1778" w:rsidRPr="001338F3" w:rsidRDefault="003B1778" w:rsidP="001338F3">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Indicator(s) and Source</w:t>
            </w:r>
          </w:p>
        </w:tc>
        <w:tc>
          <w:tcPr>
            <w:tcW w:w="17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B1778" w:rsidRPr="001338F3" w:rsidRDefault="003B1778" w:rsidP="001338F3">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Baseline</w:t>
            </w:r>
          </w:p>
        </w:tc>
        <w:tc>
          <w:tcPr>
            <w:tcW w:w="2066" w:type="dxa"/>
            <w:tcBorders>
              <w:top w:val="single" w:sz="4" w:space="0" w:color="auto"/>
              <w:left w:val="single" w:sz="4" w:space="0" w:color="auto"/>
              <w:right w:val="single" w:sz="4" w:space="0" w:color="auto"/>
            </w:tcBorders>
            <w:shd w:val="clear" w:color="auto" w:fill="D6E3BC" w:themeFill="accent3" w:themeFillTint="66"/>
            <w:vAlign w:val="center"/>
          </w:tcPr>
          <w:p w:rsidR="003B1778" w:rsidRPr="001338F3" w:rsidRDefault="003B1778" w:rsidP="001338F3">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Latest figures reported</w:t>
            </w:r>
          </w:p>
        </w:tc>
        <w:tc>
          <w:tcPr>
            <w:tcW w:w="2256" w:type="dxa"/>
            <w:tcBorders>
              <w:top w:val="single" w:sz="4" w:space="0" w:color="auto"/>
              <w:left w:val="single" w:sz="4" w:space="0" w:color="auto"/>
              <w:right w:val="single" w:sz="4" w:space="0" w:color="auto"/>
            </w:tcBorders>
            <w:shd w:val="clear" w:color="auto" w:fill="D6E3BC" w:themeFill="accent3" w:themeFillTint="66"/>
            <w:vAlign w:val="center"/>
          </w:tcPr>
          <w:p w:rsidR="003B1778" w:rsidRPr="001338F3" w:rsidRDefault="003B1778" w:rsidP="006628E8">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Short Term Target (1 year)</w:t>
            </w:r>
          </w:p>
        </w:tc>
        <w:tc>
          <w:tcPr>
            <w:tcW w:w="2369" w:type="dxa"/>
            <w:tcBorders>
              <w:top w:val="single" w:sz="4" w:space="0" w:color="auto"/>
              <w:left w:val="single" w:sz="4" w:space="0" w:color="auto"/>
              <w:right w:val="single" w:sz="4" w:space="0" w:color="auto"/>
            </w:tcBorders>
            <w:shd w:val="clear" w:color="auto" w:fill="D6E3BC" w:themeFill="accent3" w:themeFillTint="66"/>
            <w:vAlign w:val="center"/>
          </w:tcPr>
          <w:p w:rsidR="003B1778" w:rsidRPr="001338F3" w:rsidRDefault="003B1778" w:rsidP="006628E8">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Medium Term Target (3yr)</w:t>
            </w:r>
          </w:p>
        </w:tc>
        <w:tc>
          <w:tcPr>
            <w:tcW w:w="238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B1778" w:rsidRPr="001338F3" w:rsidRDefault="003B1778" w:rsidP="006628E8">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Long Term Target</w:t>
            </w:r>
          </w:p>
          <w:p w:rsidR="003B1778" w:rsidRPr="001338F3" w:rsidRDefault="003B1778" w:rsidP="006628E8">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(10yr)</w:t>
            </w:r>
          </w:p>
        </w:tc>
      </w:tr>
      <w:tr w:rsidR="002969EA" w:rsidRPr="001338F3" w:rsidTr="00521C50">
        <w:tblPrEx>
          <w:shd w:val="clear" w:color="auto" w:fill="66CCFF"/>
        </w:tblPrEx>
        <w:trPr>
          <w:trHeight w:val="2100"/>
        </w:trPr>
        <w:tc>
          <w:tcPr>
            <w:tcW w:w="3564" w:type="dxa"/>
            <w:tcBorders>
              <w:top w:val="single" w:sz="4" w:space="0" w:color="auto"/>
              <w:left w:val="single" w:sz="4" w:space="0" w:color="auto"/>
              <w:bottom w:val="single" w:sz="4" w:space="0" w:color="auto"/>
              <w:right w:val="single" w:sz="4" w:space="0" w:color="auto"/>
            </w:tcBorders>
          </w:tcPr>
          <w:p w:rsidR="002969EA" w:rsidRPr="00541C46" w:rsidRDefault="002969EA" w:rsidP="00944F80">
            <w:pPr>
              <w:pStyle w:val="ListBullet"/>
              <w:numPr>
                <w:ilvl w:val="0"/>
                <w:numId w:val="0"/>
              </w:numPr>
              <w:tabs>
                <w:tab w:val="left" w:pos="720"/>
              </w:tabs>
              <w:rPr>
                <w:rFonts w:ascii="Arial" w:hAnsi="Arial" w:cs="Arial"/>
                <w:sz w:val="22"/>
                <w:szCs w:val="22"/>
              </w:rPr>
            </w:pPr>
            <w:r w:rsidRPr="00541C46">
              <w:rPr>
                <w:rFonts w:ascii="Arial" w:hAnsi="Arial" w:cs="Arial"/>
                <w:sz w:val="22"/>
                <w:szCs w:val="22"/>
              </w:rPr>
              <w:t>Increase</w:t>
            </w:r>
            <w:r w:rsidRPr="00541C46">
              <w:rPr>
                <w:rFonts w:ascii="Arial" w:hAnsi="Arial" w:cs="Arial"/>
                <w:b/>
                <w:sz w:val="22"/>
                <w:szCs w:val="22"/>
              </w:rPr>
              <w:t xml:space="preserve"> </w:t>
            </w:r>
            <w:r w:rsidRPr="00541C46">
              <w:rPr>
                <w:rFonts w:ascii="Arial" w:hAnsi="Arial" w:cs="Arial"/>
                <w:sz w:val="22"/>
                <w:szCs w:val="22"/>
              </w:rPr>
              <w:t>the percentage of 16-19 year olds participating in education, training or employment as recorded at the Initial School Leaver Destination</w:t>
            </w:r>
          </w:p>
          <w:p w:rsidR="002969EA" w:rsidRPr="00541C46" w:rsidRDefault="002969EA" w:rsidP="00944F80">
            <w:pPr>
              <w:pStyle w:val="ListBullet"/>
              <w:numPr>
                <w:ilvl w:val="0"/>
                <w:numId w:val="0"/>
              </w:numPr>
              <w:tabs>
                <w:tab w:val="left" w:pos="720"/>
              </w:tabs>
              <w:rPr>
                <w:rFonts w:ascii="Arial" w:hAnsi="Arial" w:cs="Arial"/>
                <w:sz w:val="22"/>
                <w:szCs w:val="22"/>
              </w:rPr>
            </w:pPr>
          </w:p>
          <w:p w:rsidR="002969EA" w:rsidRPr="00541C46" w:rsidRDefault="00541C46" w:rsidP="00944F80">
            <w:pPr>
              <w:pStyle w:val="ListBullet"/>
              <w:numPr>
                <w:ilvl w:val="0"/>
                <w:numId w:val="0"/>
              </w:numPr>
              <w:tabs>
                <w:tab w:val="left" w:pos="720"/>
              </w:tabs>
              <w:rPr>
                <w:rFonts w:ascii="Arial" w:hAnsi="Arial" w:cs="Arial"/>
                <w:sz w:val="22"/>
                <w:szCs w:val="22"/>
              </w:rPr>
            </w:pPr>
            <w:r>
              <w:rPr>
                <w:rFonts w:ascii="Arial" w:hAnsi="Arial" w:cs="Arial"/>
                <w:b/>
                <w:sz w:val="22"/>
                <w:szCs w:val="22"/>
              </w:rPr>
              <w:t xml:space="preserve">Source: </w:t>
            </w:r>
            <w:r w:rsidR="002969EA" w:rsidRPr="00541C46">
              <w:rPr>
                <w:rFonts w:ascii="Arial" w:hAnsi="Arial" w:cs="Arial"/>
                <w:b/>
                <w:sz w:val="22"/>
                <w:szCs w:val="22"/>
              </w:rPr>
              <w:t xml:space="preserve">Scottish Government, Post School Destinations report </w:t>
            </w:r>
          </w:p>
        </w:tc>
        <w:tc>
          <w:tcPr>
            <w:tcW w:w="1789" w:type="dxa"/>
            <w:tcBorders>
              <w:top w:val="single" w:sz="4" w:space="0" w:color="auto"/>
              <w:left w:val="single" w:sz="4" w:space="0" w:color="auto"/>
              <w:bottom w:val="single" w:sz="4" w:space="0" w:color="auto"/>
              <w:right w:val="single" w:sz="4" w:space="0" w:color="auto"/>
            </w:tcBorders>
          </w:tcPr>
          <w:p w:rsidR="002969EA" w:rsidRPr="00541C46" w:rsidRDefault="002969EA" w:rsidP="00944F80">
            <w:pPr>
              <w:jc w:val="center"/>
              <w:rPr>
                <w:rFonts w:eastAsia="Times New Roman" w:cs="Arial"/>
                <w:u w:val="single"/>
              </w:rPr>
            </w:pPr>
            <w:r w:rsidRPr="00541C46">
              <w:rPr>
                <w:rFonts w:eastAsia="Times New Roman" w:cs="Arial"/>
              </w:rPr>
              <w:t>(2015/16)</w:t>
            </w:r>
          </w:p>
          <w:p w:rsidR="002969EA" w:rsidRPr="00541C46" w:rsidRDefault="00B81BEB" w:rsidP="00944F80">
            <w:pPr>
              <w:jc w:val="center"/>
              <w:rPr>
                <w:rFonts w:eastAsia="Times New Roman" w:cs="Arial"/>
                <w:iCs/>
              </w:rPr>
            </w:pPr>
            <w:r w:rsidRPr="00541C46">
              <w:rPr>
                <w:rFonts w:eastAsia="Times New Roman" w:cs="Arial"/>
                <w:iCs/>
              </w:rPr>
              <w:t>South Lanarkshire - 94</w:t>
            </w:r>
            <w:r w:rsidR="002969EA" w:rsidRPr="00541C46">
              <w:rPr>
                <w:rFonts w:eastAsia="Times New Roman" w:cs="Arial"/>
                <w:iCs/>
              </w:rPr>
              <w:t xml:space="preserve">% </w:t>
            </w:r>
          </w:p>
          <w:p w:rsidR="00FE33E3" w:rsidRPr="00541C46" w:rsidRDefault="00FE33E3" w:rsidP="00944F80">
            <w:pPr>
              <w:jc w:val="center"/>
              <w:rPr>
                <w:rFonts w:eastAsia="Times New Roman" w:cs="Arial"/>
                <w:iCs/>
              </w:rPr>
            </w:pPr>
          </w:p>
          <w:p w:rsidR="002969EA" w:rsidRPr="00541C46" w:rsidRDefault="00B81BEB" w:rsidP="00944F80">
            <w:pPr>
              <w:jc w:val="center"/>
              <w:rPr>
                <w:rFonts w:eastAsia="Times New Roman" w:cs="Arial"/>
              </w:rPr>
            </w:pPr>
            <w:r w:rsidRPr="00541C46">
              <w:rPr>
                <w:rFonts w:eastAsia="Times New Roman" w:cs="Arial"/>
                <w:bCs/>
                <w:iCs/>
              </w:rPr>
              <w:t>Scotland - 93</w:t>
            </w:r>
            <w:r w:rsidR="002969EA" w:rsidRPr="00541C46">
              <w:rPr>
                <w:rFonts w:eastAsia="Times New Roman" w:cs="Arial"/>
                <w:bCs/>
                <w:iCs/>
              </w:rPr>
              <w:t xml:space="preserve">% </w:t>
            </w:r>
          </w:p>
        </w:tc>
        <w:tc>
          <w:tcPr>
            <w:tcW w:w="2066" w:type="dxa"/>
            <w:tcBorders>
              <w:left w:val="single" w:sz="4" w:space="0" w:color="auto"/>
              <w:right w:val="single" w:sz="4" w:space="0" w:color="auto"/>
            </w:tcBorders>
          </w:tcPr>
          <w:p w:rsidR="002969EA" w:rsidRPr="00541C46" w:rsidRDefault="002969EA" w:rsidP="00944F80">
            <w:pPr>
              <w:jc w:val="center"/>
              <w:rPr>
                <w:rFonts w:eastAsia="Times New Roman" w:cs="Arial"/>
              </w:rPr>
            </w:pPr>
            <w:r w:rsidRPr="00541C46">
              <w:rPr>
                <w:rFonts w:eastAsia="Times New Roman" w:cs="Arial"/>
              </w:rPr>
              <w:t>(2016/17)</w:t>
            </w:r>
          </w:p>
          <w:p w:rsidR="002969EA" w:rsidRPr="00541C46" w:rsidRDefault="002969EA" w:rsidP="00944F80">
            <w:pPr>
              <w:jc w:val="center"/>
              <w:rPr>
                <w:rFonts w:cs="Arial"/>
                <w:iCs/>
              </w:rPr>
            </w:pPr>
            <w:r w:rsidRPr="00541C46">
              <w:rPr>
                <w:rFonts w:eastAsia="Times New Roman" w:cs="Arial"/>
                <w:iCs/>
              </w:rPr>
              <w:t xml:space="preserve">South Lanarkshire – 95.8 % </w:t>
            </w:r>
          </w:p>
          <w:p w:rsidR="002969EA" w:rsidRDefault="002969EA" w:rsidP="00944F80">
            <w:pPr>
              <w:jc w:val="center"/>
              <w:rPr>
                <w:rFonts w:eastAsia="Times New Roman" w:cs="Arial"/>
                <w:iCs/>
              </w:rPr>
            </w:pPr>
          </w:p>
          <w:p w:rsidR="00541C46" w:rsidRPr="00541C46" w:rsidRDefault="00541C46" w:rsidP="00944F80">
            <w:pPr>
              <w:jc w:val="center"/>
              <w:rPr>
                <w:rFonts w:eastAsia="Times New Roman" w:cs="Arial"/>
                <w:iCs/>
              </w:rPr>
            </w:pPr>
          </w:p>
          <w:p w:rsidR="002969EA" w:rsidRPr="00541C46" w:rsidRDefault="002969EA" w:rsidP="00944F80">
            <w:pPr>
              <w:jc w:val="center"/>
              <w:rPr>
                <w:rFonts w:eastAsia="Times New Roman" w:cs="Arial"/>
                <w:u w:val="single"/>
              </w:rPr>
            </w:pPr>
            <w:r w:rsidRPr="00541C46">
              <w:rPr>
                <w:rFonts w:eastAsia="Times New Roman" w:cs="Arial"/>
                <w:bCs/>
                <w:iCs/>
              </w:rPr>
              <w:t xml:space="preserve">Scotland – 93.7% </w:t>
            </w:r>
          </w:p>
        </w:tc>
        <w:tc>
          <w:tcPr>
            <w:tcW w:w="2256" w:type="dxa"/>
            <w:tcBorders>
              <w:left w:val="single" w:sz="4" w:space="0" w:color="auto"/>
              <w:right w:val="single" w:sz="4" w:space="0" w:color="auto"/>
            </w:tcBorders>
          </w:tcPr>
          <w:p w:rsidR="002969EA" w:rsidRPr="000F5435" w:rsidRDefault="002969EA" w:rsidP="00944F80">
            <w:pPr>
              <w:pStyle w:val="ListBullet"/>
              <w:numPr>
                <w:ilvl w:val="0"/>
                <w:numId w:val="0"/>
              </w:numPr>
              <w:tabs>
                <w:tab w:val="left" w:pos="720"/>
              </w:tabs>
              <w:jc w:val="center"/>
              <w:rPr>
                <w:rFonts w:ascii="Arial" w:hAnsi="Arial" w:cs="Arial"/>
                <w:sz w:val="22"/>
                <w:szCs w:val="22"/>
              </w:rPr>
            </w:pPr>
            <w:r w:rsidRPr="000F5435">
              <w:rPr>
                <w:rFonts w:ascii="Arial" w:hAnsi="Arial" w:cs="Arial"/>
                <w:sz w:val="22"/>
                <w:szCs w:val="22"/>
              </w:rPr>
              <w:t>Maintain above Scottish Average</w:t>
            </w: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tc>
        <w:tc>
          <w:tcPr>
            <w:tcW w:w="2369" w:type="dxa"/>
            <w:tcBorders>
              <w:left w:val="single" w:sz="4" w:space="0" w:color="auto"/>
              <w:right w:val="single" w:sz="4" w:space="0" w:color="auto"/>
            </w:tcBorders>
          </w:tcPr>
          <w:p w:rsidR="002969EA" w:rsidRPr="000F5435" w:rsidRDefault="002969EA" w:rsidP="00944F80">
            <w:pPr>
              <w:pStyle w:val="ListBullet"/>
              <w:numPr>
                <w:ilvl w:val="0"/>
                <w:numId w:val="0"/>
              </w:numPr>
              <w:tabs>
                <w:tab w:val="left" w:pos="720"/>
              </w:tabs>
              <w:jc w:val="center"/>
              <w:rPr>
                <w:rFonts w:ascii="Arial" w:hAnsi="Arial" w:cs="Arial"/>
                <w:sz w:val="22"/>
                <w:szCs w:val="22"/>
              </w:rPr>
            </w:pPr>
            <w:r w:rsidRPr="000F5435">
              <w:rPr>
                <w:rFonts w:ascii="Arial" w:hAnsi="Arial" w:cs="Arial"/>
                <w:sz w:val="22"/>
                <w:szCs w:val="22"/>
              </w:rPr>
              <w:t>Maintain above Scottish Average</w:t>
            </w: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tc>
        <w:tc>
          <w:tcPr>
            <w:tcW w:w="2381" w:type="dxa"/>
            <w:tcBorders>
              <w:top w:val="single" w:sz="4" w:space="0" w:color="auto"/>
              <w:left w:val="single" w:sz="4" w:space="0" w:color="auto"/>
              <w:bottom w:val="single" w:sz="4" w:space="0" w:color="auto"/>
              <w:right w:val="single" w:sz="4" w:space="0" w:color="auto"/>
            </w:tcBorders>
          </w:tcPr>
          <w:p w:rsidR="002969EA" w:rsidRPr="000F5435" w:rsidRDefault="002969EA" w:rsidP="00944F80">
            <w:pPr>
              <w:pStyle w:val="ListBullet"/>
              <w:numPr>
                <w:ilvl w:val="0"/>
                <w:numId w:val="0"/>
              </w:numPr>
              <w:tabs>
                <w:tab w:val="left" w:pos="720"/>
              </w:tabs>
              <w:jc w:val="center"/>
              <w:rPr>
                <w:rFonts w:ascii="Arial" w:hAnsi="Arial" w:cs="Arial"/>
                <w:sz w:val="22"/>
                <w:szCs w:val="22"/>
              </w:rPr>
            </w:pPr>
            <w:r w:rsidRPr="000F5435">
              <w:rPr>
                <w:rFonts w:ascii="Arial" w:hAnsi="Arial" w:cs="Arial"/>
                <w:sz w:val="22"/>
                <w:szCs w:val="22"/>
              </w:rPr>
              <w:t>Maintain above Scottish Average</w:t>
            </w: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p w:rsidR="002969EA" w:rsidRPr="000F5435" w:rsidRDefault="002969EA" w:rsidP="00944F80">
            <w:pPr>
              <w:pStyle w:val="ListBullet"/>
              <w:numPr>
                <w:ilvl w:val="0"/>
                <w:numId w:val="0"/>
              </w:numPr>
              <w:tabs>
                <w:tab w:val="left" w:pos="720"/>
              </w:tabs>
              <w:jc w:val="center"/>
              <w:rPr>
                <w:rFonts w:ascii="Arial" w:hAnsi="Arial" w:cs="Arial"/>
                <w:sz w:val="22"/>
                <w:szCs w:val="22"/>
              </w:rPr>
            </w:pPr>
          </w:p>
        </w:tc>
      </w:tr>
      <w:tr w:rsidR="0082379A" w:rsidRPr="000A2276" w:rsidTr="00521C50">
        <w:trPr>
          <w:trHeight w:val="282"/>
        </w:trPr>
        <w:tc>
          <w:tcPr>
            <w:tcW w:w="3564" w:type="dxa"/>
            <w:tcBorders>
              <w:top w:val="single" w:sz="4" w:space="0" w:color="auto"/>
              <w:left w:val="single" w:sz="4" w:space="0" w:color="auto"/>
              <w:bottom w:val="single" w:sz="4" w:space="0" w:color="auto"/>
              <w:right w:val="single" w:sz="4" w:space="0" w:color="auto"/>
            </w:tcBorders>
          </w:tcPr>
          <w:p w:rsidR="0082379A" w:rsidRPr="00CE508A" w:rsidRDefault="0082379A" w:rsidP="00797669">
            <w:pPr>
              <w:pStyle w:val="NormalWeb"/>
              <w:spacing w:before="0" w:beforeAutospacing="0" w:after="0" w:afterAutospacing="0"/>
              <w:rPr>
                <w:rFonts w:ascii="Arial" w:hAnsi="Arial" w:cs="Arial"/>
                <w:color w:val="000000"/>
                <w:kern w:val="24"/>
                <w:sz w:val="22"/>
                <w:szCs w:val="22"/>
              </w:rPr>
            </w:pPr>
            <w:r w:rsidRPr="00CE508A">
              <w:rPr>
                <w:rFonts w:ascii="Arial" w:hAnsi="Arial" w:cs="Arial"/>
                <w:b/>
                <w:color w:val="000000"/>
                <w:kern w:val="24"/>
                <w:sz w:val="22"/>
                <w:szCs w:val="22"/>
              </w:rPr>
              <w:t xml:space="preserve">Percentage </w:t>
            </w:r>
            <w:r w:rsidRPr="00CE508A">
              <w:rPr>
                <w:rFonts w:ascii="Arial" w:hAnsi="Arial" w:cs="Arial"/>
                <w:color w:val="000000"/>
                <w:kern w:val="24"/>
                <w:sz w:val="22"/>
                <w:szCs w:val="22"/>
              </w:rPr>
              <w:t>reduction in the gap of positive destination outcomes for young people in the 20% most deprived data zones and their peers in the least deprived 20% data zones</w:t>
            </w:r>
          </w:p>
          <w:p w:rsidR="0082379A" w:rsidRPr="00CE508A" w:rsidRDefault="0082379A" w:rsidP="00797669">
            <w:pPr>
              <w:pStyle w:val="NormalWeb"/>
              <w:spacing w:before="0" w:beforeAutospacing="0" w:after="0" w:afterAutospacing="0"/>
              <w:rPr>
                <w:rFonts w:ascii="Arial" w:hAnsi="Arial" w:cs="Arial"/>
                <w:color w:val="000000"/>
                <w:kern w:val="24"/>
                <w:sz w:val="22"/>
                <w:szCs w:val="22"/>
              </w:rPr>
            </w:pPr>
          </w:p>
          <w:p w:rsidR="0082379A" w:rsidRPr="00CE508A" w:rsidRDefault="0082379A" w:rsidP="00797669">
            <w:pPr>
              <w:pStyle w:val="NormalWeb"/>
              <w:spacing w:before="0" w:beforeAutospacing="0" w:after="0" w:afterAutospacing="0"/>
              <w:rPr>
                <w:rFonts w:ascii="Arial" w:hAnsi="Arial" w:cs="Arial"/>
                <w:b/>
                <w:color w:val="000000"/>
                <w:kern w:val="24"/>
                <w:sz w:val="22"/>
                <w:szCs w:val="22"/>
              </w:rPr>
            </w:pPr>
            <w:r w:rsidRPr="00CE508A">
              <w:rPr>
                <w:rFonts w:ascii="Arial" w:hAnsi="Arial" w:cs="Arial"/>
                <w:b/>
                <w:color w:val="000000"/>
                <w:kern w:val="24"/>
                <w:sz w:val="22"/>
                <w:szCs w:val="22"/>
              </w:rPr>
              <w:t>(Source: Education/ Insight)</w:t>
            </w:r>
          </w:p>
        </w:tc>
        <w:tc>
          <w:tcPr>
            <w:tcW w:w="1789" w:type="dxa"/>
            <w:tcBorders>
              <w:left w:val="single" w:sz="4" w:space="0" w:color="auto"/>
              <w:right w:val="single" w:sz="4" w:space="0" w:color="auto"/>
            </w:tcBorders>
          </w:tcPr>
          <w:p w:rsidR="0082379A" w:rsidRPr="00CE508A" w:rsidRDefault="0082379A" w:rsidP="00797669">
            <w:pPr>
              <w:jc w:val="center"/>
            </w:pPr>
            <w:r w:rsidRPr="00CE508A">
              <w:t>(201</w:t>
            </w:r>
            <w:r w:rsidR="00CA70D4">
              <w:t>5/1</w:t>
            </w:r>
            <w:r w:rsidRPr="00CE508A">
              <w:t>6)</w:t>
            </w:r>
          </w:p>
          <w:p w:rsidR="0082379A" w:rsidRPr="00CE508A" w:rsidRDefault="0082379A" w:rsidP="00797669">
            <w:pPr>
              <w:jc w:val="center"/>
            </w:pPr>
            <w:r w:rsidRPr="00CE508A">
              <w:t>Lowest 20% - 89.9%</w:t>
            </w:r>
          </w:p>
          <w:p w:rsidR="0082379A" w:rsidRPr="00CE508A" w:rsidRDefault="0082379A" w:rsidP="00797669">
            <w:pPr>
              <w:jc w:val="center"/>
            </w:pPr>
            <w:r w:rsidRPr="00CE508A">
              <w:t>Highest 20% - 95.1%</w:t>
            </w:r>
          </w:p>
          <w:p w:rsidR="0082379A" w:rsidRPr="00CE508A" w:rsidRDefault="0082379A" w:rsidP="00797669">
            <w:pPr>
              <w:jc w:val="center"/>
            </w:pPr>
          </w:p>
          <w:p w:rsidR="0082379A" w:rsidRPr="00CE508A" w:rsidRDefault="0082379A" w:rsidP="00797669">
            <w:pPr>
              <w:jc w:val="center"/>
            </w:pPr>
            <w:r w:rsidRPr="00CE508A">
              <w:t>Gap – 5.2%</w:t>
            </w:r>
          </w:p>
          <w:p w:rsidR="0082379A" w:rsidRPr="00CE508A" w:rsidRDefault="0082379A" w:rsidP="00797669">
            <w:pPr>
              <w:jc w:val="center"/>
            </w:pPr>
          </w:p>
          <w:p w:rsidR="0082379A" w:rsidRPr="00CE508A" w:rsidRDefault="0082379A" w:rsidP="00797669">
            <w:pPr>
              <w:jc w:val="center"/>
            </w:pPr>
          </w:p>
        </w:tc>
        <w:tc>
          <w:tcPr>
            <w:tcW w:w="2066" w:type="dxa"/>
            <w:tcBorders>
              <w:left w:val="single" w:sz="4" w:space="0" w:color="auto"/>
              <w:right w:val="single" w:sz="4" w:space="0" w:color="auto"/>
            </w:tcBorders>
          </w:tcPr>
          <w:p w:rsidR="0082379A" w:rsidRPr="00CE508A" w:rsidRDefault="0082379A" w:rsidP="00797669">
            <w:pPr>
              <w:pStyle w:val="ListBullet"/>
              <w:numPr>
                <w:ilvl w:val="0"/>
                <w:numId w:val="0"/>
              </w:numPr>
              <w:tabs>
                <w:tab w:val="left" w:pos="720"/>
              </w:tabs>
              <w:jc w:val="center"/>
              <w:rPr>
                <w:rFonts w:ascii="Arial" w:hAnsi="Arial" w:cs="Arial"/>
                <w:sz w:val="22"/>
                <w:szCs w:val="22"/>
              </w:rPr>
            </w:pPr>
            <w:r w:rsidRPr="00CE508A">
              <w:rPr>
                <w:rFonts w:ascii="Arial" w:hAnsi="Arial" w:cs="Arial"/>
                <w:sz w:val="22"/>
                <w:szCs w:val="22"/>
              </w:rPr>
              <w:t>(20</w:t>
            </w:r>
            <w:r w:rsidR="00CA70D4">
              <w:rPr>
                <w:rFonts w:ascii="Arial" w:hAnsi="Arial" w:cs="Arial"/>
                <w:sz w:val="22"/>
                <w:szCs w:val="22"/>
              </w:rPr>
              <w:t>16/</w:t>
            </w:r>
            <w:r w:rsidRPr="00CE508A">
              <w:rPr>
                <w:rFonts w:ascii="Arial" w:hAnsi="Arial" w:cs="Arial"/>
                <w:sz w:val="22"/>
                <w:szCs w:val="22"/>
              </w:rPr>
              <w:t>17)</w:t>
            </w:r>
          </w:p>
          <w:p w:rsidR="0082379A" w:rsidRPr="00CE508A" w:rsidRDefault="0082379A" w:rsidP="00797669">
            <w:pPr>
              <w:pStyle w:val="ListBullet"/>
              <w:numPr>
                <w:ilvl w:val="0"/>
                <w:numId w:val="0"/>
              </w:numPr>
              <w:tabs>
                <w:tab w:val="left" w:pos="720"/>
              </w:tabs>
              <w:jc w:val="center"/>
              <w:rPr>
                <w:rFonts w:ascii="Arial" w:hAnsi="Arial" w:cs="Arial"/>
                <w:sz w:val="22"/>
                <w:szCs w:val="22"/>
              </w:rPr>
            </w:pPr>
            <w:r w:rsidRPr="00CE508A">
              <w:rPr>
                <w:rFonts w:ascii="Arial" w:hAnsi="Arial" w:cs="Arial"/>
                <w:sz w:val="22"/>
                <w:szCs w:val="22"/>
              </w:rPr>
              <w:t>Lowest 20% - 92.3%</w:t>
            </w:r>
          </w:p>
          <w:p w:rsidR="0082379A" w:rsidRPr="00CE508A" w:rsidRDefault="0082379A" w:rsidP="00797669">
            <w:pPr>
              <w:pStyle w:val="ListBullet"/>
              <w:numPr>
                <w:ilvl w:val="0"/>
                <w:numId w:val="0"/>
              </w:numPr>
              <w:tabs>
                <w:tab w:val="left" w:pos="720"/>
              </w:tabs>
              <w:jc w:val="center"/>
              <w:rPr>
                <w:rFonts w:ascii="Arial" w:hAnsi="Arial" w:cs="Arial"/>
                <w:sz w:val="22"/>
                <w:szCs w:val="22"/>
              </w:rPr>
            </w:pPr>
            <w:r w:rsidRPr="00CE508A">
              <w:rPr>
                <w:rFonts w:ascii="Arial" w:hAnsi="Arial" w:cs="Arial"/>
                <w:sz w:val="22"/>
                <w:szCs w:val="22"/>
              </w:rPr>
              <w:t>Highest 20% - 97.1%</w:t>
            </w:r>
          </w:p>
          <w:p w:rsidR="0082379A" w:rsidRPr="00CE508A" w:rsidRDefault="0082379A" w:rsidP="00797669">
            <w:pPr>
              <w:pStyle w:val="ListBullet"/>
              <w:numPr>
                <w:ilvl w:val="0"/>
                <w:numId w:val="0"/>
              </w:numPr>
              <w:tabs>
                <w:tab w:val="left" w:pos="720"/>
              </w:tabs>
              <w:jc w:val="center"/>
              <w:rPr>
                <w:rFonts w:ascii="Arial" w:hAnsi="Arial" w:cs="Arial"/>
                <w:sz w:val="22"/>
                <w:szCs w:val="22"/>
              </w:rPr>
            </w:pPr>
          </w:p>
          <w:p w:rsidR="0082379A" w:rsidRPr="00CE508A" w:rsidRDefault="0082379A" w:rsidP="00797669">
            <w:pPr>
              <w:pStyle w:val="ListBullet"/>
              <w:numPr>
                <w:ilvl w:val="0"/>
                <w:numId w:val="0"/>
              </w:numPr>
              <w:tabs>
                <w:tab w:val="left" w:pos="720"/>
              </w:tabs>
              <w:jc w:val="center"/>
              <w:rPr>
                <w:rFonts w:ascii="Arial" w:hAnsi="Arial" w:cs="Arial"/>
                <w:sz w:val="22"/>
                <w:szCs w:val="22"/>
              </w:rPr>
            </w:pPr>
            <w:r w:rsidRPr="00CE508A">
              <w:rPr>
                <w:rFonts w:ascii="Arial" w:hAnsi="Arial" w:cs="Arial"/>
                <w:sz w:val="22"/>
                <w:szCs w:val="22"/>
              </w:rPr>
              <w:t>Gap – 4.8%</w:t>
            </w:r>
          </w:p>
        </w:tc>
        <w:tc>
          <w:tcPr>
            <w:tcW w:w="2256" w:type="dxa"/>
            <w:tcBorders>
              <w:left w:val="single" w:sz="4" w:space="0" w:color="auto"/>
              <w:right w:val="single" w:sz="4" w:space="0" w:color="auto"/>
            </w:tcBorders>
          </w:tcPr>
          <w:p w:rsidR="0082379A" w:rsidRPr="00CE508A" w:rsidRDefault="0082379A" w:rsidP="00797669">
            <w:pPr>
              <w:pStyle w:val="ListBullet"/>
              <w:numPr>
                <w:ilvl w:val="0"/>
                <w:numId w:val="0"/>
              </w:numPr>
              <w:tabs>
                <w:tab w:val="left" w:pos="720"/>
              </w:tabs>
              <w:jc w:val="center"/>
              <w:rPr>
                <w:rFonts w:ascii="Arial" w:hAnsi="Arial" w:cs="Arial"/>
                <w:sz w:val="22"/>
                <w:szCs w:val="22"/>
              </w:rPr>
            </w:pPr>
            <w:r w:rsidRPr="00CE508A">
              <w:rPr>
                <w:rFonts w:ascii="Arial" w:hAnsi="Arial" w:cs="Arial"/>
                <w:sz w:val="22"/>
                <w:szCs w:val="22"/>
              </w:rPr>
              <w:t xml:space="preserve">Reduce the Gap </w:t>
            </w:r>
            <w:r w:rsidR="00106A1E">
              <w:rPr>
                <w:rFonts w:ascii="Arial" w:hAnsi="Arial" w:cs="Arial"/>
                <w:sz w:val="22"/>
                <w:szCs w:val="22"/>
              </w:rPr>
              <w:t>to</w:t>
            </w:r>
            <w:r w:rsidRPr="00CE508A">
              <w:rPr>
                <w:rFonts w:ascii="Arial" w:hAnsi="Arial" w:cs="Arial"/>
                <w:sz w:val="22"/>
                <w:szCs w:val="22"/>
              </w:rPr>
              <w:t xml:space="preserve"> 4%</w:t>
            </w:r>
          </w:p>
        </w:tc>
        <w:tc>
          <w:tcPr>
            <w:tcW w:w="2369" w:type="dxa"/>
            <w:tcBorders>
              <w:top w:val="single" w:sz="4" w:space="0" w:color="auto"/>
              <w:left w:val="single" w:sz="4" w:space="0" w:color="auto"/>
              <w:bottom w:val="single" w:sz="4" w:space="0" w:color="auto"/>
              <w:right w:val="single" w:sz="4" w:space="0" w:color="auto"/>
            </w:tcBorders>
          </w:tcPr>
          <w:p w:rsidR="0082379A" w:rsidRPr="00CE508A" w:rsidRDefault="0082379A" w:rsidP="00797669">
            <w:pPr>
              <w:pStyle w:val="ListBullet"/>
              <w:numPr>
                <w:ilvl w:val="0"/>
                <w:numId w:val="0"/>
              </w:numPr>
              <w:tabs>
                <w:tab w:val="left" w:pos="720"/>
              </w:tabs>
              <w:jc w:val="center"/>
              <w:rPr>
                <w:rFonts w:ascii="Arial" w:hAnsi="Arial" w:cs="Arial"/>
                <w:sz w:val="22"/>
                <w:szCs w:val="22"/>
              </w:rPr>
            </w:pPr>
            <w:r w:rsidRPr="00CE508A">
              <w:rPr>
                <w:rFonts w:ascii="Arial" w:hAnsi="Arial" w:cs="Arial"/>
                <w:sz w:val="22"/>
                <w:szCs w:val="22"/>
              </w:rPr>
              <w:t xml:space="preserve">Reduce the Gap </w:t>
            </w:r>
            <w:r w:rsidR="00106A1E">
              <w:rPr>
                <w:rFonts w:ascii="Arial" w:hAnsi="Arial" w:cs="Arial"/>
                <w:sz w:val="22"/>
                <w:szCs w:val="22"/>
              </w:rPr>
              <w:t>to</w:t>
            </w:r>
            <w:r w:rsidRPr="00CE508A">
              <w:rPr>
                <w:rFonts w:ascii="Arial" w:hAnsi="Arial" w:cs="Arial"/>
                <w:sz w:val="22"/>
                <w:szCs w:val="22"/>
              </w:rPr>
              <w:t xml:space="preserve"> 2.5%</w:t>
            </w:r>
          </w:p>
        </w:tc>
        <w:tc>
          <w:tcPr>
            <w:tcW w:w="2381" w:type="dxa"/>
            <w:tcBorders>
              <w:top w:val="single" w:sz="4" w:space="0" w:color="auto"/>
              <w:left w:val="single" w:sz="4" w:space="0" w:color="auto"/>
              <w:bottom w:val="single" w:sz="4" w:space="0" w:color="auto"/>
              <w:right w:val="single" w:sz="4" w:space="0" w:color="auto"/>
            </w:tcBorders>
          </w:tcPr>
          <w:p w:rsidR="0082379A" w:rsidRPr="00CE508A" w:rsidRDefault="0082379A" w:rsidP="00797669">
            <w:pPr>
              <w:pStyle w:val="ListBullet"/>
              <w:numPr>
                <w:ilvl w:val="0"/>
                <w:numId w:val="0"/>
              </w:numPr>
              <w:tabs>
                <w:tab w:val="left" w:pos="720"/>
              </w:tabs>
              <w:jc w:val="center"/>
              <w:rPr>
                <w:rFonts w:ascii="Arial" w:hAnsi="Arial" w:cs="Arial"/>
                <w:sz w:val="22"/>
                <w:szCs w:val="22"/>
              </w:rPr>
            </w:pPr>
            <w:r w:rsidRPr="00CE508A">
              <w:rPr>
                <w:rFonts w:ascii="Arial" w:hAnsi="Arial" w:cs="Arial"/>
                <w:sz w:val="22"/>
                <w:szCs w:val="22"/>
              </w:rPr>
              <w:t xml:space="preserve">Reduce the Gap </w:t>
            </w:r>
            <w:r w:rsidR="00106A1E">
              <w:rPr>
                <w:rFonts w:ascii="Arial" w:hAnsi="Arial" w:cs="Arial"/>
                <w:sz w:val="22"/>
                <w:szCs w:val="22"/>
              </w:rPr>
              <w:t>to</w:t>
            </w:r>
            <w:r w:rsidRPr="00CE508A">
              <w:rPr>
                <w:rFonts w:ascii="Arial" w:hAnsi="Arial" w:cs="Arial"/>
                <w:sz w:val="22"/>
                <w:szCs w:val="22"/>
              </w:rPr>
              <w:t xml:space="preserve"> 1.5%</w:t>
            </w:r>
          </w:p>
        </w:tc>
      </w:tr>
    </w:tbl>
    <w:p w:rsidR="006F2179" w:rsidRDefault="006F2179">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007"/>
        <w:gridCol w:w="1411"/>
        <w:gridCol w:w="2039"/>
        <w:gridCol w:w="1131"/>
      </w:tblGrid>
      <w:tr w:rsidR="006628E8" w:rsidRPr="001338F3" w:rsidTr="00521C50">
        <w:trPr>
          <w:trHeight w:val="361"/>
        </w:trPr>
        <w:tc>
          <w:tcPr>
            <w:tcW w:w="1442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28E8" w:rsidRPr="001338F3" w:rsidRDefault="006628E8" w:rsidP="0039506C">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We will take the following actions to achieve the outcome above</w:t>
            </w:r>
          </w:p>
        </w:tc>
      </w:tr>
      <w:tr w:rsidR="006628E8" w:rsidRPr="001338F3" w:rsidTr="00521C50">
        <w:trPr>
          <w:trHeight w:val="372"/>
        </w:trPr>
        <w:tc>
          <w:tcPr>
            <w:tcW w:w="4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628E8" w:rsidRPr="001338F3" w:rsidRDefault="006628E8" w:rsidP="002E0D59">
            <w:pPr>
              <w:rPr>
                <w:rFonts w:cs="Arial"/>
                <w:b/>
              </w:rPr>
            </w:pPr>
            <w:r w:rsidRPr="001338F3">
              <w:rPr>
                <w:rFonts w:cs="Arial"/>
                <w:b/>
              </w:rPr>
              <w:t>Change Required</w:t>
            </w:r>
          </w:p>
        </w:tc>
        <w:tc>
          <w:tcPr>
            <w:tcW w:w="50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628E8" w:rsidRPr="001338F3" w:rsidRDefault="006628E8" w:rsidP="002E0D59">
            <w:pPr>
              <w:rPr>
                <w:rFonts w:cs="Arial"/>
                <w:b/>
              </w:rPr>
            </w:pPr>
            <w:r w:rsidRPr="001338F3">
              <w:rPr>
                <w:rFonts w:cs="Arial"/>
                <w:b/>
              </w:rPr>
              <w:t>Action to achieve change ( including outcome measures and targets)</w:t>
            </w:r>
          </w:p>
        </w:tc>
        <w:tc>
          <w:tcPr>
            <w:tcW w:w="14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628E8" w:rsidRPr="001338F3" w:rsidRDefault="006628E8" w:rsidP="002E0D59">
            <w:pPr>
              <w:rPr>
                <w:rFonts w:cs="Arial"/>
                <w:b/>
              </w:rPr>
            </w:pPr>
            <w:r w:rsidRPr="001338F3">
              <w:rPr>
                <w:rFonts w:cs="Arial"/>
                <w:b/>
              </w:rPr>
              <w:t>Timescale</w:t>
            </w:r>
          </w:p>
        </w:tc>
        <w:tc>
          <w:tcPr>
            <w:tcW w:w="203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628E8" w:rsidRPr="001338F3" w:rsidRDefault="006628E8" w:rsidP="002E0D59">
            <w:pPr>
              <w:rPr>
                <w:rFonts w:cs="Arial"/>
                <w:b/>
              </w:rPr>
            </w:pPr>
            <w:r w:rsidRPr="001338F3">
              <w:rPr>
                <w:rFonts w:cs="Arial"/>
                <w:b/>
              </w:rPr>
              <w:t>Responsibility</w:t>
            </w:r>
          </w:p>
        </w:tc>
        <w:tc>
          <w:tcPr>
            <w:tcW w:w="11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628E8" w:rsidRPr="001338F3" w:rsidRDefault="00ED3EFC" w:rsidP="002E0D59">
            <w:pPr>
              <w:rPr>
                <w:rFonts w:cs="Arial"/>
                <w:b/>
              </w:rPr>
            </w:pPr>
            <w:r>
              <w:rPr>
                <w:rFonts w:cs="Arial"/>
                <w:b/>
              </w:rPr>
              <w:t>Poverty Focus</w:t>
            </w:r>
          </w:p>
        </w:tc>
      </w:tr>
      <w:tr w:rsidR="002969EA" w:rsidRPr="001338F3" w:rsidTr="00521C50">
        <w:trPr>
          <w:trHeight w:val="3065"/>
        </w:trPr>
        <w:tc>
          <w:tcPr>
            <w:tcW w:w="4837" w:type="dxa"/>
            <w:tcBorders>
              <w:top w:val="single" w:sz="4" w:space="0" w:color="auto"/>
              <w:left w:val="single" w:sz="4" w:space="0" w:color="auto"/>
              <w:right w:val="single" w:sz="4" w:space="0" w:color="auto"/>
            </w:tcBorders>
            <w:shd w:val="clear" w:color="auto" w:fill="FFFFFF" w:themeFill="background1"/>
          </w:tcPr>
          <w:p w:rsidR="002969EA" w:rsidRPr="00FE33E3" w:rsidRDefault="002969EA" w:rsidP="00944F80">
            <w:pPr>
              <w:tabs>
                <w:tab w:val="num" w:pos="1671"/>
              </w:tabs>
              <w:rPr>
                <w:rFonts w:eastAsia="Times New Roman" w:cs="Arial"/>
              </w:rPr>
            </w:pPr>
            <w:r w:rsidRPr="00FE33E3">
              <w:rPr>
                <w:rFonts w:eastAsia="Times New Roman" w:cs="Arial"/>
              </w:rPr>
              <w:t>Increase the numbers of young people who enter a positive post school destination, with a focus on reducing the gap in outcomes for young people from more deprived areas in comparison to their peers.</w:t>
            </w:r>
          </w:p>
          <w:p w:rsidR="002969EA" w:rsidRPr="00FE33E3" w:rsidRDefault="002969EA" w:rsidP="00944F80">
            <w:pPr>
              <w:tabs>
                <w:tab w:val="num" w:pos="1671"/>
              </w:tabs>
              <w:rPr>
                <w:rFonts w:eastAsia="Times New Roman" w:cs="Arial"/>
              </w:rPr>
            </w:pPr>
          </w:p>
          <w:p w:rsidR="002969EA" w:rsidRPr="00FE33E3" w:rsidRDefault="002969EA" w:rsidP="00944F80">
            <w:pPr>
              <w:tabs>
                <w:tab w:val="num" w:pos="1671"/>
              </w:tabs>
              <w:rPr>
                <w:rFonts w:eastAsia="Times New Roman" w:cs="Arial"/>
              </w:rPr>
            </w:pPr>
          </w:p>
        </w:tc>
        <w:tc>
          <w:tcPr>
            <w:tcW w:w="5007" w:type="dxa"/>
            <w:tcBorders>
              <w:top w:val="single" w:sz="4" w:space="0" w:color="auto"/>
              <w:left w:val="single" w:sz="4" w:space="0" w:color="auto"/>
              <w:right w:val="single" w:sz="4" w:space="0" w:color="auto"/>
            </w:tcBorders>
          </w:tcPr>
          <w:p w:rsidR="002969EA" w:rsidRPr="00541C46" w:rsidRDefault="002969EA" w:rsidP="002969EA">
            <w:pPr>
              <w:pStyle w:val="ListParagraph"/>
              <w:numPr>
                <w:ilvl w:val="0"/>
                <w:numId w:val="46"/>
              </w:numPr>
              <w:ind w:left="266" w:hanging="266"/>
              <w:rPr>
                <w:rFonts w:eastAsia="Times New Roman" w:cs="Arial"/>
              </w:rPr>
            </w:pPr>
            <w:r w:rsidRPr="00541C46">
              <w:rPr>
                <w:rFonts w:eastAsia="Times New Roman" w:cs="Arial"/>
              </w:rPr>
              <w:t>Successful delivery of the national Opportunities for All policy and the ambitions of, Develo</w:t>
            </w:r>
            <w:r w:rsidR="00C91532">
              <w:rPr>
                <w:rFonts w:eastAsia="Times New Roman" w:cs="Arial"/>
              </w:rPr>
              <w:t>ping the Young Workforce policy</w:t>
            </w:r>
          </w:p>
          <w:p w:rsidR="002969EA" w:rsidRPr="00541C46" w:rsidRDefault="00C91532" w:rsidP="00C91532">
            <w:pPr>
              <w:pStyle w:val="ListParagraph"/>
              <w:numPr>
                <w:ilvl w:val="0"/>
                <w:numId w:val="46"/>
              </w:numPr>
              <w:ind w:left="295" w:hanging="295"/>
              <w:rPr>
                <w:rFonts w:eastAsia="Times New Roman" w:cs="Arial"/>
              </w:rPr>
            </w:pPr>
            <w:r w:rsidRPr="00C91532">
              <w:rPr>
                <w:rFonts w:eastAsia="Times New Roman" w:cs="Arial"/>
              </w:rPr>
              <w:t>Introducing innovative new projects and processes that improves outcomes within SLC Secondary Schools and Lanarkshire Colleges</w:t>
            </w:r>
          </w:p>
          <w:p w:rsidR="002969EA" w:rsidRPr="00541C46" w:rsidRDefault="002969EA" w:rsidP="002969EA">
            <w:pPr>
              <w:pStyle w:val="ListParagraph"/>
              <w:numPr>
                <w:ilvl w:val="0"/>
                <w:numId w:val="46"/>
              </w:numPr>
              <w:ind w:left="292" w:hanging="292"/>
              <w:rPr>
                <w:rFonts w:eastAsia="Times New Roman" w:cs="Arial"/>
              </w:rPr>
            </w:pPr>
            <w:r w:rsidRPr="00541C46">
              <w:rPr>
                <w:rFonts w:eastAsia="Times New Roman" w:cs="Arial"/>
              </w:rPr>
              <w:t xml:space="preserve">Introducing innovative new projects and processes that improves outcomes and targets extra support to young people who live in the more deprived communities, or face multiple barriers to </w:t>
            </w:r>
            <w:r w:rsidR="00C91532">
              <w:rPr>
                <w:rFonts w:eastAsia="Times New Roman" w:cs="Arial"/>
              </w:rPr>
              <w:t>making a successful progression</w:t>
            </w:r>
          </w:p>
        </w:tc>
        <w:tc>
          <w:tcPr>
            <w:tcW w:w="1411" w:type="dxa"/>
            <w:tcBorders>
              <w:top w:val="single" w:sz="4" w:space="0" w:color="auto"/>
              <w:left w:val="single" w:sz="4" w:space="0" w:color="auto"/>
              <w:right w:val="single" w:sz="4" w:space="0" w:color="auto"/>
            </w:tcBorders>
          </w:tcPr>
          <w:p w:rsidR="002969EA" w:rsidRPr="00FE33E3" w:rsidRDefault="002969EA" w:rsidP="00944F80">
            <w:pPr>
              <w:tabs>
                <w:tab w:val="num" w:pos="1671"/>
              </w:tabs>
              <w:rPr>
                <w:rFonts w:eastAsia="Times New Roman" w:cs="Arial"/>
              </w:rPr>
            </w:pPr>
            <w:r w:rsidRPr="00FE33E3">
              <w:rPr>
                <w:rFonts w:eastAsia="Times New Roman" w:cs="Arial"/>
              </w:rPr>
              <w:t>March 2020</w:t>
            </w:r>
          </w:p>
        </w:tc>
        <w:tc>
          <w:tcPr>
            <w:tcW w:w="2039" w:type="dxa"/>
            <w:tcBorders>
              <w:top w:val="single" w:sz="4" w:space="0" w:color="auto"/>
              <w:left w:val="single" w:sz="4" w:space="0" w:color="auto"/>
              <w:right w:val="single" w:sz="4" w:space="0" w:color="auto"/>
            </w:tcBorders>
          </w:tcPr>
          <w:p w:rsidR="002969EA" w:rsidRPr="00FE33E3" w:rsidRDefault="002969EA" w:rsidP="00944F80">
            <w:pPr>
              <w:tabs>
                <w:tab w:val="num" w:pos="1671"/>
              </w:tabs>
              <w:jc w:val="center"/>
              <w:rPr>
                <w:rFonts w:eastAsia="Times New Roman" w:cs="Arial"/>
              </w:rPr>
            </w:pPr>
            <w:r w:rsidRPr="00FE33E3">
              <w:rPr>
                <w:rFonts w:eastAsia="Times New Roman" w:cs="Arial"/>
              </w:rPr>
              <w:t>SLC – Education</w:t>
            </w:r>
          </w:p>
          <w:p w:rsidR="002969EA" w:rsidRPr="00FE33E3" w:rsidRDefault="002969EA" w:rsidP="00944F80">
            <w:pPr>
              <w:tabs>
                <w:tab w:val="num" w:pos="1671"/>
              </w:tabs>
              <w:jc w:val="center"/>
              <w:rPr>
                <w:rFonts w:eastAsia="Times New Roman" w:cs="Arial"/>
              </w:rPr>
            </w:pPr>
            <w:r w:rsidRPr="00FE33E3">
              <w:rPr>
                <w:rFonts w:eastAsia="Times New Roman" w:cs="Arial"/>
              </w:rPr>
              <w:t>Opportunities for All Strategy Group</w:t>
            </w:r>
          </w:p>
          <w:p w:rsidR="002969EA" w:rsidRPr="00FE33E3" w:rsidRDefault="002969EA" w:rsidP="00944F80">
            <w:pPr>
              <w:tabs>
                <w:tab w:val="num" w:pos="1671"/>
              </w:tabs>
              <w:jc w:val="center"/>
              <w:rPr>
                <w:rFonts w:eastAsia="Times New Roman" w:cs="Arial"/>
              </w:rPr>
            </w:pPr>
            <w:r w:rsidRPr="00FE33E3">
              <w:rPr>
                <w:rFonts w:eastAsia="Times New Roman" w:cs="Arial"/>
              </w:rPr>
              <w:t>Delivering Scotland’s Young Workforce (DSYW) Regional Group</w:t>
            </w:r>
          </w:p>
        </w:tc>
        <w:tc>
          <w:tcPr>
            <w:tcW w:w="1131" w:type="dxa"/>
            <w:tcBorders>
              <w:top w:val="single" w:sz="4" w:space="0" w:color="auto"/>
              <w:left w:val="single" w:sz="4" w:space="0" w:color="auto"/>
              <w:right w:val="single" w:sz="4" w:space="0" w:color="auto"/>
            </w:tcBorders>
          </w:tcPr>
          <w:p w:rsidR="002969EA" w:rsidRPr="00FE33E3" w:rsidRDefault="002969EA" w:rsidP="00944F80">
            <w:pPr>
              <w:tabs>
                <w:tab w:val="num" w:pos="1671"/>
              </w:tabs>
              <w:jc w:val="center"/>
              <w:rPr>
                <w:rFonts w:eastAsia="Times New Roman" w:cs="Arial"/>
              </w:rPr>
            </w:pPr>
            <w:r w:rsidRPr="00FE33E3">
              <w:rPr>
                <w:rFonts w:eastAsia="Times New Roman" w:cs="Arial"/>
              </w:rPr>
              <w:t>2,4</w:t>
            </w:r>
          </w:p>
        </w:tc>
      </w:tr>
      <w:tr w:rsidR="002969EA" w:rsidRPr="001338F3" w:rsidTr="00521C50">
        <w:trPr>
          <w:trHeight w:val="990"/>
        </w:trPr>
        <w:tc>
          <w:tcPr>
            <w:tcW w:w="4837" w:type="dxa"/>
            <w:tcBorders>
              <w:top w:val="single" w:sz="4" w:space="0" w:color="auto"/>
              <w:left w:val="single" w:sz="4" w:space="0" w:color="auto"/>
              <w:bottom w:val="single" w:sz="4" w:space="0" w:color="auto"/>
              <w:right w:val="single" w:sz="4" w:space="0" w:color="auto"/>
            </w:tcBorders>
            <w:shd w:val="clear" w:color="auto" w:fill="FFFFFF" w:themeFill="background1"/>
          </w:tcPr>
          <w:p w:rsidR="002969EA" w:rsidRPr="00FE33E3" w:rsidRDefault="002969EA" w:rsidP="00944F80">
            <w:pPr>
              <w:tabs>
                <w:tab w:val="num" w:pos="1671"/>
              </w:tabs>
              <w:rPr>
                <w:rFonts w:eastAsia="Times New Roman" w:cs="Arial"/>
              </w:rPr>
            </w:pPr>
            <w:r w:rsidRPr="00FE33E3">
              <w:rPr>
                <w:rFonts w:eastAsia="Times New Roman" w:cs="Arial"/>
              </w:rPr>
              <w:t>Creation of vocational pathways into employment (in particular STEM) ultimately increasing youth employment opportunities and providing in-work progression routes</w:t>
            </w:r>
          </w:p>
        </w:tc>
        <w:tc>
          <w:tcPr>
            <w:tcW w:w="5007" w:type="dxa"/>
            <w:tcBorders>
              <w:top w:val="single" w:sz="4" w:space="0" w:color="auto"/>
              <w:left w:val="single" w:sz="4" w:space="0" w:color="auto"/>
              <w:bottom w:val="single" w:sz="4" w:space="0" w:color="auto"/>
              <w:right w:val="single" w:sz="4" w:space="0" w:color="auto"/>
            </w:tcBorders>
          </w:tcPr>
          <w:p w:rsidR="002969EA" w:rsidRPr="00227385" w:rsidRDefault="002969EA" w:rsidP="00227385">
            <w:pPr>
              <w:pStyle w:val="ListParagraph"/>
              <w:numPr>
                <w:ilvl w:val="0"/>
                <w:numId w:val="9"/>
              </w:numPr>
              <w:ind w:left="266" w:hanging="283"/>
              <w:rPr>
                <w:rFonts w:eastAsia="Times New Roman" w:cs="Arial"/>
              </w:rPr>
            </w:pPr>
            <w:r w:rsidRPr="00227385">
              <w:rPr>
                <w:rFonts w:eastAsia="Times New Roman" w:cs="Arial"/>
              </w:rPr>
              <w:t xml:space="preserve">Increase the number of vocational development opportunities for school pupils </w:t>
            </w:r>
          </w:p>
          <w:p w:rsidR="002969EA" w:rsidRPr="00227385" w:rsidRDefault="002969EA" w:rsidP="00227385">
            <w:pPr>
              <w:pStyle w:val="ListParagraph"/>
              <w:numPr>
                <w:ilvl w:val="0"/>
                <w:numId w:val="9"/>
              </w:numPr>
              <w:ind w:left="266" w:hanging="283"/>
              <w:rPr>
                <w:rFonts w:eastAsia="Times New Roman" w:cs="Arial"/>
              </w:rPr>
            </w:pPr>
            <w:r w:rsidRPr="00227385">
              <w:rPr>
                <w:rFonts w:eastAsia="Times New Roman" w:cs="Arial"/>
              </w:rPr>
              <w:t>Increase the number of Modern Apprenticeships (MA’s)</w:t>
            </w:r>
          </w:p>
          <w:p w:rsidR="002969EA" w:rsidRPr="00227385" w:rsidRDefault="002969EA" w:rsidP="00227385">
            <w:pPr>
              <w:pStyle w:val="ListParagraph"/>
              <w:numPr>
                <w:ilvl w:val="0"/>
                <w:numId w:val="9"/>
              </w:numPr>
              <w:ind w:left="266" w:hanging="283"/>
              <w:rPr>
                <w:rFonts w:eastAsia="Times New Roman" w:cs="Arial"/>
              </w:rPr>
            </w:pPr>
            <w:r w:rsidRPr="00227385">
              <w:rPr>
                <w:rFonts w:eastAsia="Times New Roman" w:cs="Arial"/>
              </w:rPr>
              <w:t>Increase the number of college courses offering pathways for the senior phase</w:t>
            </w:r>
          </w:p>
          <w:p w:rsidR="002969EA" w:rsidRPr="00227385" w:rsidRDefault="002969EA" w:rsidP="00227385">
            <w:pPr>
              <w:pStyle w:val="ListParagraph"/>
              <w:numPr>
                <w:ilvl w:val="0"/>
                <w:numId w:val="9"/>
              </w:numPr>
              <w:ind w:left="266" w:hanging="283"/>
              <w:rPr>
                <w:rFonts w:eastAsia="Times New Roman" w:cs="Arial"/>
              </w:rPr>
            </w:pPr>
            <w:r w:rsidRPr="00227385">
              <w:rPr>
                <w:rFonts w:eastAsia="Times New Roman" w:cs="Arial"/>
              </w:rPr>
              <w:t>Increase the numbers of formal business/ school partnerships and work experience opportunities</w:t>
            </w:r>
          </w:p>
        </w:tc>
        <w:tc>
          <w:tcPr>
            <w:tcW w:w="1411" w:type="dxa"/>
            <w:tcBorders>
              <w:top w:val="single" w:sz="4" w:space="0" w:color="auto"/>
              <w:left w:val="single" w:sz="4" w:space="0" w:color="auto"/>
              <w:bottom w:val="single" w:sz="4" w:space="0" w:color="auto"/>
              <w:right w:val="single" w:sz="4" w:space="0" w:color="auto"/>
            </w:tcBorders>
          </w:tcPr>
          <w:p w:rsidR="002969EA" w:rsidRPr="00FE33E3" w:rsidRDefault="002969EA" w:rsidP="00944F80">
            <w:pPr>
              <w:tabs>
                <w:tab w:val="num" w:pos="1671"/>
              </w:tabs>
              <w:rPr>
                <w:rFonts w:eastAsia="Times New Roman" w:cs="Arial"/>
              </w:rPr>
            </w:pPr>
          </w:p>
        </w:tc>
        <w:tc>
          <w:tcPr>
            <w:tcW w:w="2039" w:type="dxa"/>
            <w:tcBorders>
              <w:top w:val="single" w:sz="4" w:space="0" w:color="auto"/>
              <w:left w:val="single" w:sz="4" w:space="0" w:color="auto"/>
              <w:bottom w:val="single" w:sz="4" w:space="0" w:color="auto"/>
              <w:right w:val="single" w:sz="4" w:space="0" w:color="auto"/>
            </w:tcBorders>
          </w:tcPr>
          <w:p w:rsidR="002969EA" w:rsidRPr="00FE33E3" w:rsidRDefault="002969EA" w:rsidP="00944F80">
            <w:pPr>
              <w:tabs>
                <w:tab w:val="num" w:pos="1671"/>
              </w:tabs>
              <w:jc w:val="center"/>
              <w:rPr>
                <w:rFonts w:eastAsia="Times New Roman" w:cs="Arial"/>
              </w:rPr>
            </w:pPr>
          </w:p>
          <w:p w:rsidR="002969EA" w:rsidRPr="00FE33E3" w:rsidRDefault="002969EA" w:rsidP="00944F80">
            <w:pPr>
              <w:tabs>
                <w:tab w:val="num" w:pos="1671"/>
              </w:tabs>
              <w:jc w:val="center"/>
              <w:rPr>
                <w:rFonts w:eastAsia="Times New Roman" w:cs="Arial"/>
              </w:rPr>
            </w:pPr>
            <w:r w:rsidRPr="00FE33E3">
              <w:rPr>
                <w:rFonts w:eastAsia="Times New Roman" w:cs="Arial"/>
              </w:rPr>
              <w:t>Education Resources</w:t>
            </w:r>
          </w:p>
          <w:p w:rsidR="002969EA" w:rsidRPr="00FE33E3" w:rsidRDefault="002969EA" w:rsidP="00944F80">
            <w:pPr>
              <w:tabs>
                <w:tab w:val="num" w:pos="1671"/>
              </w:tabs>
              <w:jc w:val="center"/>
              <w:rPr>
                <w:rFonts w:eastAsia="Times New Roman" w:cs="Arial"/>
              </w:rPr>
            </w:pPr>
          </w:p>
          <w:p w:rsidR="002969EA" w:rsidRPr="00FE33E3" w:rsidRDefault="002969EA" w:rsidP="00944F80">
            <w:pPr>
              <w:tabs>
                <w:tab w:val="num" w:pos="1671"/>
              </w:tabs>
              <w:jc w:val="center"/>
              <w:rPr>
                <w:rFonts w:eastAsia="Times New Roman" w:cs="Arial"/>
              </w:rPr>
            </w:pPr>
            <w:r w:rsidRPr="00FE33E3">
              <w:rPr>
                <w:rFonts w:eastAsia="Times New Roman" w:cs="Arial"/>
              </w:rPr>
              <w:t>Corporate Resources</w:t>
            </w:r>
          </w:p>
        </w:tc>
        <w:tc>
          <w:tcPr>
            <w:tcW w:w="1131" w:type="dxa"/>
            <w:tcBorders>
              <w:top w:val="single" w:sz="4" w:space="0" w:color="auto"/>
              <w:left w:val="single" w:sz="4" w:space="0" w:color="auto"/>
              <w:bottom w:val="single" w:sz="4" w:space="0" w:color="auto"/>
              <w:right w:val="single" w:sz="4" w:space="0" w:color="auto"/>
            </w:tcBorders>
          </w:tcPr>
          <w:p w:rsidR="002969EA" w:rsidRPr="00FE33E3" w:rsidRDefault="002969EA" w:rsidP="00944F80">
            <w:pPr>
              <w:tabs>
                <w:tab w:val="num" w:pos="1671"/>
              </w:tabs>
              <w:jc w:val="center"/>
              <w:rPr>
                <w:rFonts w:eastAsia="Times New Roman" w:cs="Arial"/>
              </w:rPr>
            </w:pPr>
          </w:p>
        </w:tc>
      </w:tr>
      <w:tr w:rsidR="002969EA" w:rsidRPr="001338F3" w:rsidTr="00521C50">
        <w:trPr>
          <w:trHeight w:val="990"/>
        </w:trPr>
        <w:tc>
          <w:tcPr>
            <w:tcW w:w="4837" w:type="dxa"/>
            <w:tcBorders>
              <w:top w:val="single" w:sz="4" w:space="0" w:color="auto"/>
              <w:left w:val="single" w:sz="4" w:space="0" w:color="auto"/>
              <w:bottom w:val="single" w:sz="4" w:space="0" w:color="auto"/>
              <w:right w:val="single" w:sz="4" w:space="0" w:color="auto"/>
            </w:tcBorders>
            <w:shd w:val="clear" w:color="auto" w:fill="FFFFFF" w:themeFill="background1"/>
          </w:tcPr>
          <w:p w:rsidR="002969EA" w:rsidRPr="00FE33E3" w:rsidRDefault="002969EA" w:rsidP="00944F80">
            <w:pPr>
              <w:tabs>
                <w:tab w:val="num" w:pos="1671"/>
              </w:tabs>
              <w:rPr>
                <w:rFonts w:eastAsia="Times New Roman" w:cs="Arial"/>
              </w:rPr>
            </w:pPr>
            <w:r w:rsidRPr="00FE33E3">
              <w:rPr>
                <w:rFonts w:eastAsia="Times New Roman" w:cs="Arial"/>
              </w:rPr>
              <w:t>Further consideration of tackling local inequalities in relationship to care experienced young people and care leavers</w:t>
            </w:r>
          </w:p>
        </w:tc>
        <w:tc>
          <w:tcPr>
            <w:tcW w:w="5007" w:type="dxa"/>
            <w:tcBorders>
              <w:top w:val="single" w:sz="4" w:space="0" w:color="auto"/>
              <w:left w:val="single" w:sz="4" w:space="0" w:color="auto"/>
              <w:bottom w:val="single" w:sz="4" w:space="0" w:color="auto"/>
              <w:right w:val="single" w:sz="4" w:space="0" w:color="auto"/>
            </w:tcBorders>
          </w:tcPr>
          <w:p w:rsidR="002969EA" w:rsidRPr="00227385" w:rsidRDefault="002969EA" w:rsidP="00227385">
            <w:pPr>
              <w:pStyle w:val="ListParagraph"/>
              <w:numPr>
                <w:ilvl w:val="0"/>
                <w:numId w:val="9"/>
              </w:numPr>
              <w:ind w:left="266" w:hanging="283"/>
              <w:rPr>
                <w:rFonts w:eastAsia="Times New Roman" w:cs="Arial"/>
              </w:rPr>
            </w:pPr>
            <w:r w:rsidRPr="00227385">
              <w:rPr>
                <w:rFonts w:eastAsia="Times New Roman" w:cs="Arial"/>
              </w:rPr>
              <w:t xml:space="preserve">Development of monitoring and support processes for care experienced young people, with targeted resources and improved partnership working to achieve sustainable outcomes (with a particular focus on Looked After at Home </w:t>
            </w:r>
          </w:p>
        </w:tc>
        <w:tc>
          <w:tcPr>
            <w:tcW w:w="1411" w:type="dxa"/>
            <w:tcBorders>
              <w:top w:val="single" w:sz="4" w:space="0" w:color="auto"/>
              <w:left w:val="single" w:sz="4" w:space="0" w:color="auto"/>
              <w:bottom w:val="single" w:sz="4" w:space="0" w:color="auto"/>
              <w:right w:val="single" w:sz="4" w:space="0" w:color="auto"/>
            </w:tcBorders>
          </w:tcPr>
          <w:p w:rsidR="002969EA" w:rsidRPr="00FE33E3" w:rsidRDefault="002969EA" w:rsidP="00944F80">
            <w:pPr>
              <w:tabs>
                <w:tab w:val="num" w:pos="1671"/>
              </w:tabs>
              <w:rPr>
                <w:rFonts w:eastAsia="Times New Roman" w:cs="Arial"/>
              </w:rPr>
            </w:pPr>
            <w:r w:rsidRPr="00FE33E3">
              <w:rPr>
                <w:rFonts w:eastAsia="Times New Roman" w:cs="Arial"/>
              </w:rPr>
              <w:t>March 2020</w:t>
            </w:r>
          </w:p>
        </w:tc>
        <w:tc>
          <w:tcPr>
            <w:tcW w:w="2039" w:type="dxa"/>
            <w:tcBorders>
              <w:top w:val="single" w:sz="4" w:space="0" w:color="auto"/>
              <w:left w:val="single" w:sz="4" w:space="0" w:color="auto"/>
              <w:bottom w:val="single" w:sz="4" w:space="0" w:color="auto"/>
              <w:right w:val="single" w:sz="4" w:space="0" w:color="auto"/>
            </w:tcBorders>
          </w:tcPr>
          <w:p w:rsidR="002969EA" w:rsidRPr="00FE33E3" w:rsidRDefault="002969EA" w:rsidP="00944F80">
            <w:pPr>
              <w:tabs>
                <w:tab w:val="num" w:pos="1671"/>
              </w:tabs>
              <w:jc w:val="center"/>
              <w:rPr>
                <w:rFonts w:eastAsia="Times New Roman" w:cs="Arial"/>
              </w:rPr>
            </w:pPr>
            <w:r w:rsidRPr="00FE33E3">
              <w:rPr>
                <w:rFonts w:eastAsia="Times New Roman" w:cs="Arial"/>
              </w:rPr>
              <w:t>Opportunities for All Partnership</w:t>
            </w:r>
          </w:p>
          <w:p w:rsidR="002969EA" w:rsidRPr="00FE33E3" w:rsidRDefault="002969EA" w:rsidP="00944F80">
            <w:pPr>
              <w:tabs>
                <w:tab w:val="num" w:pos="1671"/>
              </w:tabs>
              <w:jc w:val="center"/>
              <w:rPr>
                <w:rFonts w:eastAsia="Times New Roman" w:cs="Arial"/>
              </w:rPr>
            </w:pPr>
          </w:p>
        </w:tc>
        <w:tc>
          <w:tcPr>
            <w:tcW w:w="1131" w:type="dxa"/>
            <w:tcBorders>
              <w:top w:val="single" w:sz="4" w:space="0" w:color="auto"/>
              <w:left w:val="single" w:sz="4" w:space="0" w:color="auto"/>
              <w:bottom w:val="single" w:sz="4" w:space="0" w:color="auto"/>
              <w:right w:val="single" w:sz="4" w:space="0" w:color="auto"/>
            </w:tcBorders>
          </w:tcPr>
          <w:p w:rsidR="002969EA" w:rsidRPr="00FE33E3" w:rsidRDefault="002969EA" w:rsidP="00944F80">
            <w:pPr>
              <w:tabs>
                <w:tab w:val="num" w:pos="1671"/>
              </w:tabs>
              <w:jc w:val="center"/>
              <w:rPr>
                <w:rFonts w:eastAsia="Times New Roman" w:cs="Arial"/>
              </w:rPr>
            </w:pPr>
            <w:r w:rsidRPr="00FE33E3">
              <w:rPr>
                <w:rFonts w:eastAsia="Times New Roman" w:cs="Arial"/>
              </w:rPr>
              <w:t>4,5</w:t>
            </w:r>
          </w:p>
        </w:tc>
      </w:tr>
    </w:tbl>
    <w:p w:rsidR="00BD2A05" w:rsidRDefault="00BD2A05">
      <w:pPr>
        <w:ind w:firstLine="360"/>
        <w:rPr>
          <w:rFonts w:cs="Arial"/>
          <w:b/>
        </w:rPr>
      </w:pPr>
    </w:p>
    <w:p w:rsidR="00F673C6" w:rsidRDefault="00F673C6">
      <w:pPr>
        <w:ind w:firstLine="360"/>
        <w:rPr>
          <w:rFonts w:cs="Arial"/>
          <w:b/>
        </w:rPr>
      </w:pPr>
    </w:p>
    <w:p w:rsidR="00F673C6" w:rsidRDefault="00F673C6">
      <w:pPr>
        <w:ind w:firstLine="360"/>
        <w:rPr>
          <w:rFonts w:cs="Arial"/>
          <w:b/>
        </w:rPr>
      </w:pPr>
    </w:p>
    <w:p w:rsidR="00287DBC" w:rsidRPr="00287DBC" w:rsidRDefault="00287DBC" w:rsidP="00287DBC">
      <w:pPr>
        <w:rPr>
          <w:rFonts w:cs="Arial"/>
          <w:b/>
        </w:rPr>
      </w:pPr>
      <w:r>
        <w:rPr>
          <w:rFonts w:cs="Arial"/>
          <w:b/>
        </w:rPr>
        <w:t>1</w:t>
      </w:r>
      <w:r>
        <w:rPr>
          <w:rFonts w:cs="Arial"/>
          <w:b/>
        </w:rPr>
        <w:tab/>
      </w:r>
      <w:r w:rsidRPr="00287DBC">
        <w:rPr>
          <w:rFonts w:cs="Arial"/>
          <w:b/>
        </w:rPr>
        <w:t>Family focused inclusion strategy</w:t>
      </w:r>
      <w:r w:rsidRPr="00287DBC">
        <w:rPr>
          <w:rFonts w:cs="Arial"/>
          <w:b/>
        </w:rPr>
        <w:tab/>
      </w:r>
      <w:r w:rsidRPr="00287DBC">
        <w:rPr>
          <w:rFonts w:cs="Arial"/>
          <w:b/>
        </w:rPr>
        <w:tab/>
      </w:r>
      <w:r w:rsidRPr="00287DBC">
        <w:rPr>
          <w:rFonts w:cs="Arial"/>
          <w:b/>
        </w:rPr>
        <w:tab/>
      </w:r>
      <w:r w:rsidRPr="00287DBC">
        <w:rPr>
          <w:rFonts w:cs="Arial"/>
          <w:b/>
        </w:rPr>
        <w:tab/>
      </w:r>
      <w:r w:rsidRPr="00287DBC">
        <w:rPr>
          <w:rFonts w:cs="Arial"/>
          <w:b/>
        </w:rPr>
        <w:tab/>
        <w:t>5</w:t>
      </w:r>
      <w:r w:rsidRPr="00287DBC">
        <w:rPr>
          <w:rFonts w:cs="Arial"/>
          <w:b/>
        </w:rPr>
        <w:tab/>
        <w:t>Tackling health inequalities</w:t>
      </w:r>
    </w:p>
    <w:p w:rsidR="00287DBC" w:rsidRPr="00287DBC" w:rsidRDefault="00287DBC" w:rsidP="00287DBC">
      <w:pPr>
        <w:rPr>
          <w:rFonts w:cs="Arial"/>
          <w:b/>
        </w:rPr>
      </w:pPr>
      <w:r>
        <w:rPr>
          <w:rFonts w:cs="Arial"/>
          <w:b/>
        </w:rPr>
        <w:t>2</w:t>
      </w:r>
      <w:r>
        <w:rPr>
          <w:rFonts w:cs="Arial"/>
          <w:b/>
        </w:rPr>
        <w:tab/>
      </w:r>
      <w:r w:rsidRPr="00287DBC">
        <w:rPr>
          <w:rFonts w:cs="Arial"/>
          <w:b/>
        </w:rPr>
        <w:t>Supporting employment/childcare</w:t>
      </w:r>
      <w:r w:rsidRPr="00287DBC">
        <w:rPr>
          <w:rFonts w:cs="Arial"/>
          <w:b/>
        </w:rPr>
        <w:tab/>
      </w:r>
      <w:r w:rsidRPr="00287DBC">
        <w:rPr>
          <w:rFonts w:cs="Arial"/>
          <w:b/>
        </w:rPr>
        <w:tab/>
      </w:r>
      <w:r w:rsidRPr="00287DBC">
        <w:rPr>
          <w:rFonts w:cs="Arial"/>
          <w:b/>
        </w:rPr>
        <w:tab/>
      </w:r>
      <w:r w:rsidRPr="00287DBC">
        <w:rPr>
          <w:rFonts w:cs="Arial"/>
          <w:b/>
        </w:rPr>
        <w:tab/>
      </w:r>
      <w:r w:rsidRPr="00287DBC">
        <w:rPr>
          <w:rFonts w:cs="Arial"/>
          <w:b/>
        </w:rPr>
        <w:tab/>
        <w:t>6</w:t>
      </w:r>
      <w:r w:rsidRPr="00287DBC">
        <w:rPr>
          <w:rFonts w:cs="Arial"/>
          <w:b/>
        </w:rPr>
        <w:tab/>
        <w:t>Supporting safeguarding measures</w:t>
      </w:r>
    </w:p>
    <w:p w:rsidR="00287DBC" w:rsidRPr="00287DBC" w:rsidRDefault="00287DBC" w:rsidP="00287DBC">
      <w:pPr>
        <w:rPr>
          <w:rFonts w:cs="Arial"/>
          <w:b/>
        </w:rPr>
      </w:pPr>
      <w:r>
        <w:rPr>
          <w:rFonts w:cs="Arial"/>
          <w:b/>
        </w:rPr>
        <w:t>3</w:t>
      </w:r>
      <w:r>
        <w:rPr>
          <w:rFonts w:cs="Arial"/>
          <w:b/>
        </w:rPr>
        <w:tab/>
      </w:r>
      <w:r w:rsidRPr="00287DBC">
        <w:rPr>
          <w:rFonts w:cs="Arial"/>
          <w:b/>
        </w:rPr>
        <w:t>Improving housing quality</w:t>
      </w:r>
      <w:r w:rsidRPr="00287DBC">
        <w:rPr>
          <w:rFonts w:cs="Arial"/>
          <w:b/>
        </w:rPr>
        <w:tab/>
      </w:r>
      <w:r w:rsidRPr="00287DBC">
        <w:rPr>
          <w:rFonts w:cs="Arial"/>
          <w:b/>
        </w:rPr>
        <w:tab/>
      </w:r>
      <w:r w:rsidRPr="00287DBC">
        <w:rPr>
          <w:rFonts w:cs="Arial"/>
          <w:b/>
        </w:rPr>
        <w:tab/>
      </w:r>
      <w:r w:rsidRPr="00287DBC">
        <w:rPr>
          <w:rFonts w:cs="Arial"/>
          <w:b/>
        </w:rPr>
        <w:tab/>
      </w:r>
      <w:r w:rsidRPr="00287DBC">
        <w:rPr>
          <w:rFonts w:cs="Arial"/>
          <w:b/>
        </w:rPr>
        <w:tab/>
      </w:r>
      <w:r w:rsidRPr="00287DBC">
        <w:rPr>
          <w:rFonts w:cs="Arial"/>
          <w:b/>
        </w:rPr>
        <w:tab/>
        <w:t>7</w:t>
      </w:r>
      <w:r w:rsidRPr="00287DBC">
        <w:rPr>
          <w:rFonts w:cs="Arial"/>
          <w:b/>
        </w:rPr>
        <w:tab/>
        <w:t>Improving local environment</w:t>
      </w:r>
    </w:p>
    <w:p w:rsidR="00287DBC" w:rsidRPr="00287DBC" w:rsidRDefault="00287DBC" w:rsidP="00287DBC">
      <w:pPr>
        <w:rPr>
          <w:rFonts w:cs="Arial"/>
          <w:b/>
        </w:rPr>
      </w:pPr>
      <w:r>
        <w:rPr>
          <w:rFonts w:cs="Arial"/>
          <w:b/>
        </w:rPr>
        <w:t>4</w:t>
      </w:r>
      <w:r>
        <w:rPr>
          <w:rFonts w:cs="Arial"/>
          <w:b/>
        </w:rPr>
        <w:tab/>
      </w:r>
      <w:r w:rsidRPr="00287DBC">
        <w:rPr>
          <w:rFonts w:cs="Arial"/>
          <w:b/>
        </w:rPr>
        <w:t>Supporting education, skills, development – young people</w:t>
      </w:r>
    </w:p>
    <w:p w:rsidR="00251FC7" w:rsidRDefault="00251FC7">
      <w:pPr>
        <w:ind w:firstLine="360"/>
        <w:rPr>
          <w:rFonts w:cs="Arial"/>
          <w:b/>
        </w:rPr>
      </w:pPr>
    </w:p>
    <w:p w:rsidR="00541C46" w:rsidRDefault="00541C46">
      <w:r>
        <w:br w:type="page"/>
      </w:r>
    </w:p>
    <w:tbl>
      <w:tblPr>
        <w:tblW w:w="14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1E0" w:firstRow="1" w:lastRow="1" w:firstColumn="1" w:lastColumn="1" w:noHBand="0" w:noVBand="0"/>
      </w:tblPr>
      <w:tblGrid>
        <w:gridCol w:w="14425"/>
      </w:tblGrid>
      <w:tr w:rsidR="00A570DF" w:rsidRPr="001338F3" w:rsidTr="00521C50">
        <w:trPr>
          <w:trHeight w:val="384"/>
        </w:trPr>
        <w:tc>
          <w:tcPr>
            <w:tcW w:w="14425" w:type="dxa"/>
            <w:tcBorders>
              <w:top w:val="nil"/>
              <w:left w:val="nil"/>
              <w:bottom w:val="nil"/>
              <w:right w:val="nil"/>
            </w:tcBorders>
            <w:shd w:val="clear" w:color="auto" w:fill="auto"/>
          </w:tcPr>
          <w:p w:rsidR="00A570DF" w:rsidRPr="001338F3" w:rsidRDefault="00A570DF" w:rsidP="002B0A63">
            <w:pPr>
              <w:pStyle w:val="ListBullet"/>
              <w:numPr>
                <w:ilvl w:val="0"/>
                <w:numId w:val="0"/>
              </w:numPr>
              <w:tabs>
                <w:tab w:val="left" w:pos="720"/>
              </w:tabs>
              <w:rPr>
                <w:rFonts w:ascii="Arial" w:hAnsi="Arial" w:cs="Arial"/>
                <w:b/>
                <w:sz w:val="22"/>
                <w:szCs w:val="22"/>
              </w:rPr>
            </w:pPr>
            <w:r>
              <w:rPr>
                <w:rFonts w:ascii="Arial" w:hAnsi="Arial" w:cs="Arial"/>
                <w:b/>
                <w:sz w:val="22"/>
                <w:szCs w:val="22"/>
              </w:rPr>
              <w:t>PIP – Sustainable and Inclusive Economic Growth</w:t>
            </w:r>
          </w:p>
        </w:tc>
      </w:tr>
      <w:tr w:rsidR="001338F3" w:rsidRPr="001338F3" w:rsidTr="00521C50">
        <w:trPr>
          <w:trHeight w:val="384"/>
        </w:trPr>
        <w:tc>
          <w:tcPr>
            <w:tcW w:w="14425" w:type="dxa"/>
            <w:tcBorders>
              <w:top w:val="single" w:sz="4" w:space="0" w:color="auto"/>
              <w:left w:val="single" w:sz="4" w:space="0" w:color="auto"/>
              <w:bottom w:val="single" w:sz="4" w:space="0" w:color="auto"/>
              <w:right w:val="single" w:sz="4" w:space="0" w:color="auto"/>
            </w:tcBorders>
            <w:shd w:val="clear" w:color="auto" w:fill="FFFF00"/>
          </w:tcPr>
          <w:p w:rsidR="001338F3" w:rsidRPr="001338F3" w:rsidRDefault="001338F3" w:rsidP="00C1525E">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Priority Outcome</w:t>
            </w:r>
            <w:r w:rsidR="00CA0967">
              <w:rPr>
                <w:rFonts w:ascii="Arial" w:hAnsi="Arial" w:cs="Arial"/>
                <w:b/>
                <w:sz w:val="22"/>
                <w:szCs w:val="22"/>
              </w:rPr>
              <w:t xml:space="preserve"> 3</w:t>
            </w:r>
            <w:r w:rsidR="00C1525E">
              <w:rPr>
                <w:rFonts w:ascii="Arial" w:hAnsi="Arial" w:cs="Arial"/>
                <w:b/>
                <w:sz w:val="22"/>
                <w:szCs w:val="22"/>
              </w:rPr>
              <w:t>:</w:t>
            </w:r>
            <w:r w:rsidRPr="001338F3">
              <w:rPr>
                <w:rFonts w:ascii="Arial" w:hAnsi="Arial" w:cs="Arial"/>
                <w:b/>
                <w:sz w:val="22"/>
                <w:szCs w:val="22"/>
              </w:rPr>
              <w:t xml:space="preserve"> Residents at greatest risk of living in poverty, whether in or out of work receive the support they need to progress into work that pays and provides opportunities for progression</w:t>
            </w:r>
          </w:p>
        </w:tc>
      </w:tr>
      <w:tr w:rsidR="001338F3" w:rsidRPr="001338F3" w:rsidTr="00521C50">
        <w:tblPrEx>
          <w:shd w:val="clear" w:color="auto" w:fill="auto"/>
        </w:tblPrEx>
        <w:trPr>
          <w:trHeight w:val="1117"/>
        </w:trPr>
        <w:tc>
          <w:tcPr>
            <w:tcW w:w="14425" w:type="dxa"/>
            <w:tcBorders>
              <w:top w:val="single" w:sz="4" w:space="0" w:color="auto"/>
              <w:left w:val="single" w:sz="4" w:space="0" w:color="auto"/>
              <w:bottom w:val="single" w:sz="4" w:space="0" w:color="auto"/>
              <w:right w:val="single" w:sz="4" w:space="0" w:color="auto"/>
            </w:tcBorders>
            <w:shd w:val="clear" w:color="auto" w:fill="FFFFFF" w:themeFill="background1"/>
          </w:tcPr>
          <w:p w:rsidR="001338F3" w:rsidRPr="00853C7D" w:rsidRDefault="001338F3" w:rsidP="001338F3">
            <w:pPr>
              <w:pStyle w:val="ListBullet"/>
              <w:numPr>
                <w:ilvl w:val="0"/>
                <w:numId w:val="0"/>
              </w:numPr>
              <w:tabs>
                <w:tab w:val="left" w:pos="720"/>
              </w:tabs>
              <w:rPr>
                <w:rFonts w:ascii="Arial" w:hAnsi="Arial" w:cs="Arial"/>
                <w:sz w:val="22"/>
                <w:szCs w:val="22"/>
              </w:rPr>
            </w:pPr>
            <w:r w:rsidRPr="001338F3">
              <w:rPr>
                <w:rFonts w:ascii="Arial" w:hAnsi="Arial" w:cs="Arial"/>
                <w:b/>
                <w:sz w:val="22"/>
                <w:szCs w:val="22"/>
              </w:rPr>
              <w:t xml:space="preserve">Rationale: </w:t>
            </w:r>
            <w:r w:rsidRPr="00853C7D">
              <w:rPr>
                <w:rFonts w:ascii="Arial" w:hAnsi="Arial" w:cs="Arial"/>
                <w:sz w:val="22"/>
                <w:szCs w:val="22"/>
              </w:rPr>
              <w:t>Finding work is no longer a guaranteed route out of poverty</w:t>
            </w:r>
            <w:r w:rsidRPr="00853C7D">
              <w:rPr>
                <w:rFonts w:ascii="Arial" w:hAnsi="Arial" w:cs="Arial"/>
                <w:b/>
                <w:sz w:val="22"/>
                <w:szCs w:val="22"/>
              </w:rPr>
              <w:t xml:space="preserve"> </w:t>
            </w:r>
            <w:r w:rsidRPr="00853C7D">
              <w:rPr>
                <w:rFonts w:ascii="Arial" w:hAnsi="Arial" w:cs="Arial"/>
                <w:sz w:val="22"/>
                <w:szCs w:val="22"/>
              </w:rPr>
              <w:t>and the partnership recognises the need to look beyond simply supporting people into jobs, to consider how we do more to promote fair work practices including paying the Living Wage</w:t>
            </w:r>
            <w:r w:rsidR="00306243">
              <w:rPr>
                <w:rFonts w:ascii="Arial" w:hAnsi="Arial" w:cs="Arial"/>
                <w:sz w:val="22"/>
                <w:szCs w:val="22"/>
              </w:rPr>
              <w:t>,</w:t>
            </w:r>
            <w:r w:rsidRPr="00853C7D">
              <w:rPr>
                <w:rFonts w:ascii="Arial" w:hAnsi="Arial" w:cs="Arial"/>
                <w:sz w:val="22"/>
                <w:szCs w:val="22"/>
              </w:rPr>
              <w:t xml:space="preserve"> supporting up-skilling of low waged and low skilled workers to enable them to maximi</w:t>
            </w:r>
            <w:r w:rsidR="00306243">
              <w:rPr>
                <w:rFonts w:ascii="Arial" w:hAnsi="Arial" w:cs="Arial"/>
                <w:sz w:val="22"/>
                <w:szCs w:val="22"/>
              </w:rPr>
              <w:t>s</w:t>
            </w:r>
            <w:r w:rsidRPr="00853C7D">
              <w:rPr>
                <w:rFonts w:ascii="Arial" w:hAnsi="Arial" w:cs="Arial"/>
                <w:sz w:val="22"/>
                <w:szCs w:val="22"/>
              </w:rPr>
              <w:t xml:space="preserve">e their earning potential and tackle under-employment. </w:t>
            </w:r>
          </w:p>
          <w:p w:rsidR="001338F3" w:rsidRPr="00853C7D" w:rsidRDefault="001338F3" w:rsidP="001338F3">
            <w:pPr>
              <w:pStyle w:val="ListBullet"/>
              <w:numPr>
                <w:ilvl w:val="0"/>
                <w:numId w:val="0"/>
              </w:numPr>
              <w:tabs>
                <w:tab w:val="left" w:pos="720"/>
              </w:tabs>
              <w:rPr>
                <w:rFonts w:ascii="Arial" w:hAnsi="Arial" w:cs="Arial"/>
                <w:sz w:val="22"/>
                <w:szCs w:val="22"/>
              </w:rPr>
            </w:pPr>
          </w:p>
          <w:p w:rsidR="001338F3" w:rsidRDefault="001338F3" w:rsidP="001338F3">
            <w:pPr>
              <w:pStyle w:val="ListBullet"/>
              <w:numPr>
                <w:ilvl w:val="0"/>
                <w:numId w:val="0"/>
              </w:numPr>
              <w:tabs>
                <w:tab w:val="left" w:pos="720"/>
              </w:tabs>
              <w:rPr>
                <w:rFonts w:ascii="Arial" w:hAnsi="Arial" w:cs="Arial"/>
                <w:sz w:val="22"/>
                <w:szCs w:val="22"/>
              </w:rPr>
            </w:pPr>
            <w:r w:rsidRPr="00853C7D">
              <w:rPr>
                <w:rFonts w:ascii="Arial" w:hAnsi="Arial" w:cs="Arial"/>
                <w:sz w:val="22"/>
                <w:szCs w:val="22"/>
              </w:rPr>
              <w:t>This requires us to focus our employability support on those who have the greatest needs and barriers to work or career progression.</w:t>
            </w:r>
            <w:r w:rsidR="001D0C4B">
              <w:rPr>
                <w:rFonts w:ascii="Arial" w:hAnsi="Arial" w:cs="Arial"/>
                <w:sz w:val="22"/>
                <w:szCs w:val="22"/>
              </w:rPr>
              <w:t xml:space="preserve"> </w:t>
            </w:r>
            <w:r w:rsidRPr="00853C7D">
              <w:rPr>
                <w:rFonts w:ascii="Arial" w:hAnsi="Arial" w:cs="Arial"/>
                <w:sz w:val="22"/>
                <w:szCs w:val="22"/>
              </w:rPr>
              <w:t xml:space="preserve"> We will develop new ways of working, including building relationships with new partners and communities to increase the engagement of those who need assistance with a focus on:</w:t>
            </w:r>
          </w:p>
          <w:p w:rsidR="004D267B" w:rsidRPr="00853C7D" w:rsidRDefault="004D267B" w:rsidP="001338F3">
            <w:pPr>
              <w:pStyle w:val="ListBullet"/>
              <w:numPr>
                <w:ilvl w:val="0"/>
                <w:numId w:val="0"/>
              </w:numPr>
              <w:tabs>
                <w:tab w:val="left" w:pos="720"/>
              </w:tabs>
              <w:rPr>
                <w:rFonts w:ascii="Arial" w:hAnsi="Arial" w:cs="Arial"/>
                <w:sz w:val="22"/>
                <w:szCs w:val="22"/>
              </w:rPr>
            </w:pPr>
          </w:p>
          <w:p w:rsidR="001338F3" w:rsidRPr="00853C7D" w:rsidRDefault="001338F3" w:rsidP="004D267B">
            <w:pPr>
              <w:pStyle w:val="ListBullet"/>
              <w:numPr>
                <w:ilvl w:val="0"/>
                <w:numId w:val="9"/>
              </w:numPr>
              <w:tabs>
                <w:tab w:val="left" w:pos="720"/>
              </w:tabs>
              <w:ind w:left="284" w:hanging="284"/>
              <w:rPr>
                <w:rFonts w:ascii="Arial" w:hAnsi="Arial" w:cs="Arial"/>
                <w:sz w:val="22"/>
                <w:szCs w:val="22"/>
              </w:rPr>
            </w:pPr>
            <w:r w:rsidRPr="00853C7D">
              <w:rPr>
                <w:rFonts w:ascii="Arial" w:hAnsi="Arial" w:cs="Arial"/>
                <w:sz w:val="22"/>
                <w:szCs w:val="22"/>
              </w:rPr>
              <w:t>Our most deprived communities where the gaps in levels of income and employment deprivation compared to South Lanarksh</w:t>
            </w:r>
            <w:r w:rsidR="004D267B">
              <w:rPr>
                <w:rFonts w:ascii="Arial" w:hAnsi="Arial" w:cs="Arial"/>
                <w:sz w:val="22"/>
                <w:szCs w:val="22"/>
              </w:rPr>
              <w:t>ire as a whole are significant;</w:t>
            </w:r>
          </w:p>
          <w:p w:rsidR="001338F3" w:rsidRPr="00853C7D" w:rsidRDefault="004D267B" w:rsidP="004D267B">
            <w:pPr>
              <w:pStyle w:val="ListBullet"/>
              <w:numPr>
                <w:ilvl w:val="0"/>
                <w:numId w:val="9"/>
              </w:numPr>
              <w:tabs>
                <w:tab w:val="left" w:pos="284"/>
              </w:tabs>
              <w:ind w:hanging="720"/>
              <w:rPr>
                <w:rFonts w:ascii="Arial" w:hAnsi="Arial" w:cs="Arial"/>
                <w:sz w:val="22"/>
                <w:szCs w:val="22"/>
              </w:rPr>
            </w:pPr>
            <w:r>
              <w:rPr>
                <w:rFonts w:ascii="Arial" w:hAnsi="Arial" w:cs="Arial"/>
                <w:sz w:val="22"/>
                <w:szCs w:val="22"/>
              </w:rPr>
              <w:t>Low income parents;</w:t>
            </w:r>
          </w:p>
          <w:p w:rsidR="001338F3" w:rsidRPr="00853C7D" w:rsidRDefault="001338F3" w:rsidP="004D267B">
            <w:pPr>
              <w:pStyle w:val="ListBullet"/>
              <w:numPr>
                <w:ilvl w:val="0"/>
                <w:numId w:val="9"/>
              </w:numPr>
              <w:tabs>
                <w:tab w:val="left" w:pos="284"/>
                <w:tab w:val="left" w:pos="426"/>
              </w:tabs>
              <w:ind w:hanging="720"/>
              <w:rPr>
                <w:rFonts w:ascii="Arial" w:hAnsi="Arial" w:cs="Arial"/>
                <w:sz w:val="22"/>
                <w:szCs w:val="22"/>
              </w:rPr>
            </w:pPr>
            <w:r w:rsidRPr="00853C7D">
              <w:rPr>
                <w:rFonts w:ascii="Arial" w:hAnsi="Arial" w:cs="Arial"/>
                <w:sz w:val="22"/>
                <w:szCs w:val="22"/>
              </w:rPr>
              <w:t>Individuals and fam</w:t>
            </w:r>
            <w:r w:rsidR="00287DBC">
              <w:rPr>
                <w:rFonts w:ascii="Arial" w:hAnsi="Arial" w:cs="Arial"/>
                <w:sz w:val="22"/>
                <w:szCs w:val="22"/>
              </w:rPr>
              <w:t>ilies affected by homelessness</w:t>
            </w:r>
            <w:r w:rsidR="004D267B">
              <w:rPr>
                <w:rFonts w:ascii="Arial" w:hAnsi="Arial" w:cs="Arial"/>
                <w:sz w:val="22"/>
                <w:szCs w:val="22"/>
              </w:rPr>
              <w:t>; and</w:t>
            </w:r>
            <w:r w:rsidRPr="00853C7D">
              <w:rPr>
                <w:rFonts w:ascii="Arial" w:hAnsi="Arial" w:cs="Arial"/>
                <w:sz w:val="22"/>
                <w:szCs w:val="22"/>
              </w:rPr>
              <w:t xml:space="preserve">  </w:t>
            </w:r>
          </w:p>
          <w:p w:rsidR="001338F3" w:rsidRPr="00853C7D" w:rsidRDefault="001338F3" w:rsidP="004D267B">
            <w:pPr>
              <w:pStyle w:val="ListBullet"/>
              <w:numPr>
                <w:ilvl w:val="0"/>
                <w:numId w:val="9"/>
              </w:numPr>
              <w:tabs>
                <w:tab w:val="left" w:pos="284"/>
              </w:tabs>
              <w:ind w:hanging="720"/>
              <w:rPr>
                <w:rFonts w:ascii="Arial" w:hAnsi="Arial" w:cs="Arial"/>
                <w:sz w:val="22"/>
                <w:szCs w:val="22"/>
              </w:rPr>
            </w:pPr>
            <w:r w:rsidRPr="00853C7D">
              <w:rPr>
                <w:rFonts w:ascii="Arial" w:hAnsi="Arial" w:cs="Arial"/>
                <w:sz w:val="22"/>
                <w:szCs w:val="22"/>
              </w:rPr>
              <w:t>Those with significant barriers to work such as substance misuse and mental health issues.</w:t>
            </w:r>
          </w:p>
          <w:p w:rsidR="001338F3" w:rsidRPr="00853C7D" w:rsidRDefault="001338F3" w:rsidP="001338F3">
            <w:pPr>
              <w:pStyle w:val="ListBullet"/>
              <w:numPr>
                <w:ilvl w:val="0"/>
                <w:numId w:val="0"/>
              </w:numPr>
              <w:tabs>
                <w:tab w:val="left" w:pos="720"/>
              </w:tabs>
              <w:rPr>
                <w:rFonts w:ascii="Arial" w:hAnsi="Arial" w:cs="Arial"/>
                <w:sz w:val="22"/>
                <w:szCs w:val="22"/>
              </w:rPr>
            </w:pPr>
          </w:p>
          <w:p w:rsidR="001338F3" w:rsidRPr="00853C7D" w:rsidRDefault="001338F3" w:rsidP="001338F3">
            <w:pPr>
              <w:pStyle w:val="ListBullet"/>
              <w:numPr>
                <w:ilvl w:val="0"/>
                <w:numId w:val="0"/>
              </w:numPr>
              <w:tabs>
                <w:tab w:val="left" w:pos="720"/>
              </w:tabs>
              <w:rPr>
                <w:rFonts w:ascii="Arial" w:hAnsi="Arial" w:cs="Arial"/>
                <w:sz w:val="22"/>
                <w:szCs w:val="22"/>
              </w:rPr>
            </w:pPr>
            <w:r w:rsidRPr="00853C7D">
              <w:rPr>
                <w:rFonts w:ascii="Arial" w:hAnsi="Arial" w:cs="Arial"/>
                <w:sz w:val="22"/>
                <w:szCs w:val="22"/>
              </w:rPr>
              <w:t>We recognise that childcare for many families can be a barrier and will link the employability work referred to below with the childcare improvements detailed elsewhere in this</w:t>
            </w:r>
            <w:r w:rsidR="004D267B">
              <w:rPr>
                <w:rFonts w:ascii="Arial" w:hAnsi="Arial" w:cs="Arial"/>
                <w:sz w:val="22"/>
                <w:szCs w:val="22"/>
              </w:rPr>
              <w:t xml:space="preserve"> P</w:t>
            </w:r>
            <w:r w:rsidR="00753801">
              <w:rPr>
                <w:rFonts w:ascii="Arial" w:hAnsi="Arial" w:cs="Arial"/>
                <w:sz w:val="22"/>
                <w:szCs w:val="22"/>
              </w:rPr>
              <w:t>lan</w:t>
            </w:r>
            <w:r w:rsidRPr="00853C7D">
              <w:rPr>
                <w:rFonts w:ascii="Arial" w:hAnsi="Arial" w:cs="Arial"/>
                <w:sz w:val="22"/>
                <w:szCs w:val="22"/>
              </w:rPr>
              <w:t>.</w:t>
            </w:r>
          </w:p>
          <w:p w:rsidR="00853C7D" w:rsidRPr="00853C7D" w:rsidRDefault="00853C7D" w:rsidP="001338F3">
            <w:pPr>
              <w:pStyle w:val="ListBullet"/>
              <w:numPr>
                <w:ilvl w:val="0"/>
                <w:numId w:val="0"/>
              </w:numPr>
              <w:tabs>
                <w:tab w:val="left" w:pos="720"/>
              </w:tabs>
              <w:rPr>
                <w:rFonts w:ascii="Arial" w:hAnsi="Arial" w:cs="Arial"/>
                <w:sz w:val="22"/>
                <w:szCs w:val="22"/>
              </w:rPr>
            </w:pPr>
          </w:p>
          <w:p w:rsidR="001338F3" w:rsidRPr="00853C7D" w:rsidRDefault="001338F3" w:rsidP="001338F3">
            <w:pPr>
              <w:pStyle w:val="ListBullet"/>
              <w:numPr>
                <w:ilvl w:val="0"/>
                <w:numId w:val="0"/>
              </w:numPr>
              <w:tabs>
                <w:tab w:val="left" w:pos="720"/>
              </w:tabs>
              <w:rPr>
                <w:rFonts w:ascii="Arial" w:hAnsi="Arial" w:cs="Arial"/>
                <w:sz w:val="22"/>
                <w:szCs w:val="22"/>
              </w:rPr>
            </w:pPr>
            <w:r w:rsidRPr="00853C7D">
              <w:rPr>
                <w:rFonts w:ascii="Arial" w:hAnsi="Arial" w:cs="Arial"/>
                <w:sz w:val="22"/>
                <w:szCs w:val="22"/>
              </w:rPr>
              <w:t>We will also ensure close links between this work area and improvements in relation to supporting financial wellbeing wherever possible integrating support whether through co-location or otherwise.</w:t>
            </w:r>
          </w:p>
          <w:p w:rsidR="001338F3" w:rsidRPr="00853C7D" w:rsidRDefault="001338F3" w:rsidP="001338F3">
            <w:pPr>
              <w:pStyle w:val="ListBullet"/>
              <w:numPr>
                <w:ilvl w:val="0"/>
                <w:numId w:val="0"/>
              </w:numPr>
              <w:tabs>
                <w:tab w:val="left" w:pos="720"/>
              </w:tabs>
              <w:rPr>
                <w:rFonts w:ascii="Arial" w:hAnsi="Arial" w:cs="Arial"/>
                <w:b/>
                <w:sz w:val="22"/>
                <w:szCs w:val="22"/>
              </w:rPr>
            </w:pPr>
          </w:p>
          <w:p w:rsidR="001338F3" w:rsidRPr="00853C7D" w:rsidRDefault="001338F3" w:rsidP="001338F3">
            <w:pPr>
              <w:pStyle w:val="ListBullet"/>
              <w:numPr>
                <w:ilvl w:val="0"/>
                <w:numId w:val="0"/>
              </w:numPr>
              <w:tabs>
                <w:tab w:val="left" w:pos="720"/>
              </w:tabs>
              <w:rPr>
                <w:rFonts w:ascii="Arial" w:hAnsi="Arial" w:cs="Arial"/>
                <w:b/>
                <w:sz w:val="22"/>
                <w:szCs w:val="22"/>
              </w:rPr>
            </w:pPr>
            <w:r w:rsidRPr="00853C7D">
              <w:rPr>
                <w:rFonts w:ascii="Arial" w:hAnsi="Arial" w:cs="Arial"/>
                <w:b/>
                <w:sz w:val="22"/>
                <w:szCs w:val="22"/>
              </w:rPr>
              <w:t xml:space="preserve">Context: </w:t>
            </w:r>
          </w:p>
          <w:p w:rsidR="001338F3" w:rsidRPr="00853C7D" w:rsidRDefault="001338F3" w:rsidP="001338F3">
            <w:pPr>
              <w:pStyle w:val="ListBullet"/>
              <w:numPr>
                <w:ilvl w:val="0"/>
                <w:numId w:val="0"/>
              </w:numPr>
              <w:tabs>
                <w:tab w:val="left" w:pos="720"/>
              </w:tabs>
              <w:rPr>
                <w:rFonts w:ascii="Arial" w:hAnsi="Arial" w:cs="Arial"/>
                <w:sz w:val="22"/>
                <w:szCs w:val="22"/>
              </w:rPr>
            </w:pPr>
            <w:r w:rsidRPr="00853C7D">
              <w:rPr>
                <w:rFonts w:ascii="Arial" w:hAnsi="Arial" w:cs="Arial"/>
                <w:sz w:val="22"/>
                <w:szCs w:val="22"/>
              </w:rPr>
              <w:t>In-work poverty levels are rising with more children in poverty in a working household than in a house where no one works.  In 2015, there was an estimate of 12,720 workers in South Lanarkshire under-employed</w:t>
            </w:r>
            <w:r w:rsidR="00753801">
              <w:rPr>
                <w:rFonts w:ascii="Arial" w:hAnsi="Arial" w:cs="Arial"/>
                <w:sz w:val="22"/>
                <w:szCs w:val="22"/>
              </w:rPr>
              <w:t xml:space="preserve"> (</w:t>
            </w:r>
            <w:r w:rsidR="00753801" w:rsidRPr="004D267B">
              <w:rPr>
                <w:rFonts w:ascii="Arial" w:hAnsi="Arial" w:cs="Arial"/>
                <w:color w:val="222222"/>
                <w:sz w:val="22"/>
                <w:szCs w:val="22"/>
              </w:rPr>
              <w:t>not having enough paid work or not doing work that makes full use of skills and abilities)</w:t>
            </w:r>
            <w:r w:rsidR="004D267B">
              <w:rPr>
                <w:rFonts w:ascii="Arial" w:hAnsi="Arial" w:cs="Arial"/>
                <w:sz w:val="22"/>
                <w:szCs w:val="22"/>
              </w:rPr>
              <w:t xml:space="preserve">.  </w:t>
            </w:r>
            <w:r w:rsidRPr="00853C7D">
              <w:rPr>
                <w:rFonts w:ascii="Arial" w:hAnsi="Arial" w:cs="Arial"/>
                <w:sz w:val="22"/>
                <w:szCs w:val="22"/>
              </w:rPr>
              <w:t xml:space="preserve">The assumption would be that a good proportion of these would be on low pay. </w:t>
            </w:r>
            <w:r w:rsidR="004D267B">
              <w:rPr>
                <w:rFonts w:ascii="Arial" w:hAnsi="Arial" w:cs="Arial"/>
                <w:sz w:val="22"/>
                <w:szCs w:val="22"/>
              </w:rPr>
              <w:t xml:space="preserve"> </w:t>
            </w:r>
            <w:r w:rsidRPr="00853C7D">
              <w:rPr>
                <w:rFonts w:ascii="Arial" w:hAnsi="Arial" w:cs="Arial"/>
                <w:sz w:val="22"/>
                <w:szCs w:val="22"/>
              </w:rPr>
              <w:t xml:space="preserve">We are unable to report on the actual numbers of workers who are in poverty. </w:t>
            </w:r>
            <w:r w:rsidR="004D267B">
              <w:rPr>
                <w:rFonts w:ascii="Arial" w:hAnsi="Arial" w:cs="Arial"/>
                <w:sz w:val="22"/>
                <w:szCs w:val="22"/>
              </w:rPr>
              <w:t xml:space="preserve"> </w:t>
            </w:r>
            <w:r w:rsidRPr="00853C7D">
              <w:rPr>
                <w:rFonts w:ascii="Arial" w:hAnsi="Arial" w:cs="Arial"/>
                <w:sz w:val="22"/>
                <w:szCs w:val="22"/>
              </w:rPr>
              <w:t xml:space="preserve">The best indicator we have is ONS survey data on the estimated proportion of residents earning below the Living Wage. </w:t>
            </w:r>
            <w:r w:rsidR="004D267B">
              <w:rPr>
                <w:rFonts w:ascii="Arial" w:hAnsi="Arial" w:cs="Arial"/>
                <w:sz w:val="22"/>
                <w:szCs w:val="22"/>
              </w:rPr>
              <w:t xml:space="preserve"> </w:t>
            </w:r>
            <w:r w:rsidRPr="00853C7D">
              <w:rPr>
                <w:rFonts w:ascii="Arial" w:hAnsi="Arial" w:cs="Arial"/>
                <w:sz w:val="22"/>
                <w:szCs w:val="22"/>
              </w:rPr>
              <w:t>In comparison to other areas and to Scotland as a whole, South Lanarkshire has one of the lowest levels</w:t>
            </w:r>
            <w:r w:rsidR="004D267B">
              <w:rPr>
                <w:rFonts w:ascii="Arial" w:hAnsi="Arial" w:cs="Arial"/>
                <w:sz w:val="22"/>
                <w:szCs w:val="22"/>
              </w:rPr>
              <w:t xml:space="preserve">. </w:t>
            </w:r>
            <w:r w:rsidRPr="00853C7D">
              <w:rPr>
                <w:rFonts w:ascii="Arial" w:hAnsi="Arial" w:cs="Arial"/>
                <w:sz w:val="22"/>
                <w:szCs w:val="22"/>
              </w:rPr>
              <w:t xml:space="preserve"> </w:t>
            </w:r>
            <w:r w:rsidR="004D267B">
              <w:rPr>
                <w:rFonts w:ascii="Arial" w:hAnsi="Arial" w:cs="Arial"/>
                <w:sz w:val="22"/>
                <w:szCs w:val="22"/>
              </w:rPr>
              <w:t>H</w:t>
            </w:r>
            <w:r w:rsidRPr="00853C7D">
              <w:rPr>
                <w:rFonts w:ascii="Arial" w:hAnsi="Arial" w:cs="Arial"/>
                <w:sz w:val="22"/>
                <w:szCs w:val="22"/>
              </w:rPr>
              <w:t>owever</w:t>
            </w:r>
            <w:r w:rsidR="004D267B">
              <w:rPr>
                <w:rFonts w:ascii="Arial" w:hAnsi="Arial" w:cs="Arial"/>
                <w:sz w:val="22"/>
                <w:szCs w:val="22"/>
              </w:rPr>
              <w:t>,</w:t>
            </w:r>
            <w:r w:rsidRPr="00853C7D">
              <w:rPr>
                <w:rFonts w:ascii="Arial" w:hAnsi="Arial" w:cs="Arial"/>
                <w:sz w:val="22"/>
                <w:szCs w:val="22"/>
              </w:rPr>
              <w:t xml:space="preserve"> it has recently increased and looking at more detail below the headline figure, we can see that the proportion of women earning below The Living Wage is higher, and are more likely to be in lower paid work, or earn less due to working less, often for childcare reasons. </w:t>
            </w:r>
          </w:p>
          <w:p w:rsidR="001338F3" w:rsidRPr="00853C7D" w:rsidRDefault="001338F3" w:rsidP="001338F3">
            <w:pPr>
              <w:pStyle w:val="ListBullet"/>
              <w:numPr>
                <w:ilvl w:val="0"/>
                <w:numId w:val="0"/>
              </w:numPr>
              <w:tabs>
                <w:tab w:val="left" w:pos="720"/>
              </w:tabs>
              <w:rPr>
                <w:rFonts w:ascii="Arial" w:hAnsi="Arial" w:cs="Arial"/>
                <w:sz w:val="22"/>
                <w:szCs w:val="22"/>
              </w:rPr>
            </w:pPr>
          </w:p>
          <w:p w:rsidR="001338F3" w:rsidRDefault="001338F3" w:rsidP="001338F3">
            <w:pPr>
              <w:pStyle w:val="ListBullet"/>
              <w:numPr>
                <w:ilvl w:val="0"/>
                <w:numId w:val="0"/>
              </w:numPr>
              <w:tabs>
                <w:tab w:val="left" w:pos="720"/>
              </w:tabs>
              <w:rPr>
                <w:rFonts w:ascii="Arial" w:hAnsi="Arial" w:cs="Arial"/>
                <w:sz w:val="22"/>
                <w:szCs w:val="22"/>
              </w:rPr>
            </w:pPr>
            <w:r w:rsidRPr="00853C7D">
              <w:rPr>
                <w:rFonts w:ascii="Arial" w:hAnsi="Arial" w:cs="Arial"/>
                <w:sz w:val="22"/>
                <w:szCs w:val="22"/>
              </w:rPr>
              <w:t>This</w:t>
            </w:r>
            <w:r w:rsidR="004D267B">
              <w:rPr>
                <w:rFonts w:ascii="Arial" w:hAnsi="Arial" w:cs="Arial"/>
                <w:sz w:val="22"/>
                <w:szCs w:val="22"/>
              </w:rPr>
              <w:t xml:space="preserve"> should remain a focus for the P</w:t>
            </w:r>
            <w:r w:rsidRPr="00853C7D">
              <w:rPr>
                <w:rFonts w:ascii="Arial" w:hAnsi="Arial" w:cs="Arial"/>
                <w:sz w:val="22"/>
                <w:szCs w:val="22"/>
              </w:rPr>
              <w:t>artnership as increasing household income is one of the most effective ways of tackling poverty and we need to build on</w:t>
            </w:r>
            <w:r w:rsidRPr="001338F3">
              <w:rPr>
                <w:rFonts w:ascii="Arial" w:hAnsi="Arial" w:cs="Arial"/>
                <w:sz w:val="22"/>
                <w:szCs w:val="22"/>
              </w:rPr>
              <w:t xml:space="preserve"> the progress as well as focus on work around women’s pay where the progress is slower.</w:t>
            </w:r>
          </w:p>
          <w:p w:rsidR="00064097" w:rsidRPr="001338F3" w:rsidRDefault="001338F3" w:rsidP="00DE18FE">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Drivers:</w:t>
            </w:r>
            <w:r w:rsidRPr="001338F3">
              <w:rPr>
                <w:rFonts w:ascii="Arial" w:hAnsi="Arial" w:cs="Arial"/>
                <w:sz w:val="22"/>
                <w:szCs w:val="22"/>
              </w:rPr>
              <w:t xml:space="preserve"> Stagnating and low wages, zero hour contracts and increasing living costs are driving up the proportion of the workforce living in poverty.</w:t>
            </w:r>
            <w:r w:rsidR="00D70E88">
              <w:rPr>
                <w:rFonts w:ascii="Arial" w:hAnsi="Arial" w:cs="Arial"/>
                <w:sz w:val="22"/>
                <w:szCs w:val="22"/>
              </w:rPr>
              <w:t xml:space="preserve"> </w:t>
            </w:r>
            <w:r w:rsidRPr="001338F3">
              <w:rPr>
                <w:rFonts w:ascii="Arial" w:hAnsi="Arial" w:cs="Arial"/>
                <w:sz w:val="22"/>
                <w:szCs w:val="22"/>
              </w:rPr>
              <w:t xml:space="preserve"> The Scottish Government</w:t>
            </w:r>
            <w:r w:rsidR="00637DDE">
              <w:rPr>
                <w:rFonts w:ascii="Arial" w:hAnsi="Arial" w:cs="Arial"/>
                <w:sz w:val="22"/>
                <w:szCs w:val="22"/>
              </w:rPr>
              <w:t>’</w:t>
            </w:r>
            <w:r w:rsidRPr="001338F3">
              <w:rPr>
                <w:rFonts w:ascii="Arial" w:hAnsi="Arial" w:cs="Arial"/>
                <w:sz w:val="22"/>
                <w:szCs w:val="22"/>
              </w:rPr>
              <w:t>s Economic Strategy places a strong emphasis on fair and inclusive growth and promotes the Living Wage Campaign and the Scottish Business Pledge.</w:t>
            </w:r>
            <w:r w:rsidR="00D70E88">
              <w:rPr>
                <w:rFonts w:ascii="Arial" w:hAnsi="Arial" w:cs="Arial"/>
                <w:sz w:val="22"/>
                <w:szCs w:val="22"/>
              </w:rPr>
              <w:t xml:space="preserve">  </w:t>
            </w:r>
            <w:r w:rsidRPr="001338F3">
              <w:rPr>
                <w:rFonts w:ascii="Arial" w:hAnsi="Arial" w:cs="Arial"/>
                <w:sz w:val="22"/>
                <w:szCs w:val="22"/>
              </w:rPr>
              <w:t>Their Fairer Scotland Action Plan refers to a number of actions to tackle in</w:t>
            </w:r>
            <w:r w:rsidR="00DE18FE">
              <w:rPr>
                <w:rFonts w:ascii="Arial" w:hAnsi="Arial" w:cs="Arial"/>
                <w:sz w:val="22"/>
                <w:szCs w:val="22"/>
              </w:rPr>
              <w:t>-</w:t>
            </w:r>
            <w:r w:rsidRPr="001338F3">
              <w:rPr>
                <w:rFonts w:ascii="Arial" w:hAnsi="Arial" w:cs="Arial"/>
                <w:sz w:val="22"/>
                <w:szCs w:val="22"/>
              </w:rPr>
              <w:t xml:space="preserve">work poverty and promote fair work. </w:t>
            </w:r>
            <w:r w:rsidR="004D267B">
              <w:rPr>
                <w:rFonts w:ascii="Arial" w:hAnsi="Arial" w:cs="Arial"/>
                <w:sz w:val="22"/>
                <w:szCs w:val="22"/>
              </w:rPr>
              <w:t xml:space="preserve"> </w:t>
            </w:r>
            <w:r w:rsidRPr="001338F3">
              <w:rPr>
                <w:rFonts w:ascii="Arial" w:hAnsi="Arial" w:cs="Arial"/>
                <w:sz w:val="22"/>
                <w:szCs w:val="22"/>
              </w:rPr>
              <w:t xml:space="preserve">The Child Poverty Bill will require </w:t>
            </w:r>
            <w:r w:rsidR="004A173A">
              <w:rPr>
                <w:rFonts w:ascii="Arial" w:hAnsi="Arial" w:cs="Arial"/>
                <w:sz w:val="22"/>
                <w:szCs w:val="22"/>
              </w:rPr>
              <w:t>South Lanarkshire Council</w:t>
            </w:r>
            <w:r w:rsidRPr="001338F3">
              <w:rPr>
                <w:rFonts w:ascii="Arial" w:hAnsi="Arial" w:cs="Arial"/>
                <w:sz w:val="22"/>
                <w:szCs w:val="22"/>
              </w:rPr>
              <w:t xml:space="preserve"> and Lanarkshire NHS to produce annual reports on actions we are taking to tackle Child Poverty. </w:t>
            </w:r>
            <w:r w:rsidR="004D267B">
              <w:rPr>
                <w:rFonts w:ascii="Arial" w:hAnsi="Arial" w:cs="Arial"/>
                <w:sz w:val="22"/>
                <w:szCs w:val="22"/>
              </w:rPr>
              <w:t xml:space="preserve"> </w:t>
            </w:r>
            <w:r w:rsidRPr="001338F3">
              <w:rPr>
                <w:rFonts w:ascii="Arial" w:hAnsi="Arial" w:cs="Arial"/>
                <w:sz w:val="22"/>
                <w:szCs w:val="22"/>
              </w:rPr>
              <w:t>Given that more than 50% of children in poverty are living in a household where someone works, supporting income maximi</w:t>
            </w:r>
            <w:r w:rsidR="004A173A">
              <w:rPr>
                <w:rFonts w:ascii="Arial" w:hAnsi="Arial" w:cs="Arial"/>
                <w:sz w:val="22"/>
                <w:szCs w:val="22"/>
              </w:rPr>
              <w:t>s</w:t>
            </w:r>
            <w:r w:rsidRPr="001338F3">
              <w:rPr>
                <w:rFonts w:ascii="Arial" w:hAnsi="Arial" w:cs="Arial"/>
                <w:sz w:val="22"/>
                <w:szCs w:val="22"/>
              </w:rPr>
              <w:t>ation through promoting and supporting fair work will be a key focus.</w:t>
            </w:r>
          </w:p>
        </w:tc>
      </w:tr>
    </w:tbl>
    <w:p w:rsidR="00637DDE" w:rsidRDefault="00637DDE">
      <w:r>
        <w:br w:type="page"/>
      </w:r>
    </w:p>
    <w:tbl>
      <w:tblPr>
        <w:tblW w:w="14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1945"/>
        <w:gridCol w:w="2410"/>
        <w:gridCol w:w="1890"/>
        <w:gridCol w:w="2307"/>
        <w:gridCol w:w="2323"/>
      </w:tblGrid>
      <w:tr w:rsidR="00637DDE" w:rsidRPr="001338F3" w:rsidTr="00521C50">
        <w:trPr>
          <w:trHeight w:val="361"/>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DDE" w:rsidRPr="001338F3" w:rsidRDefault="00637DDE" w:rsidP="009D49B7">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We will take the following actions to achieve the outcome above</w:t>
            </w:r>
          </w:p>
        </w:tc>
      </w:tr>
      <w:tr w:rsidR="008A7432" w:rsidRPr="001338F3" w:rsidTr="00521C50">
        <w:tc>
          <w:tcPr>
            <w:tcW w:w="35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A7432" w:rsidRPr="001338F3" w:rsidRDefault="008A7432" w:rsidP="001338F3">
            <w:pPr>
              <w:pStyle w:val="ListBullet"/>
              <w:numPr>
                <w:ilvl w:val="0"/>
                <w:numId w:val="0"/>
              </w:numPr>
              <w:tabs>
                <w:tab w:val="left" w:pos="720"/>
              </w:tabs>
              <w:rPr>
                <w:rFonts w:ascii="Arial" w:hAnsi="Arial" w:cs="Arial"/>
                <w:b/>
                <w:sz w:val="22"/>
                <w:szCs w:val="22"/>
              </w:rPr>
            </w:pPr>
            <w:r w:rsidRPr="001338F3">
              <w:rPr>
                <w:rFonts w:ascii="Arial" w:hAnsi="Arial" w:cs="Arial"/>
                <w:b/>
                <w:sz w:val="22"/>
                <w:szCs w:val="22"/>
              </w:rPr>
              <w:t>Indicator(s) and Source</w:t>
            </w:r>
          </w:p>
        </w:tc>
        <w:tc>
          <w:tcPr>
            <w:tcW w:w="19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A7432" w:rsidRPr="001338F3" w:rsidRDefault="008A7432" w:rsidP="004D267B">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Baseline</w:t>
            </w:r>
          </w:p>
        </w:tc>
        <w:tc>
          <w:tcPr>
            <w:tcW w:w="2410" w:type="dxa"/>
            <w:tcBorders>
              <w:top w:val="single" w:sz="4" w:space="0" w:color="auto"/>
              <w:left w:val="single" w:sz="4" w:space="0" w:color="auto"/>
              <w:right w:val="single" w:sz="4" w:space="0" w:color="auto"/>
            </w:tcBorders>
            <w:shd w:val="clear" w:color="auto" w:fill="D6E3BC" w:themeFill="accent3" w:themeFillTint="66"/>
          </w:tcPr>
          <w:p w:rsidR="008A7432" w:rsidRPr="001338F3" w:rsidRDefault="008A7432" w:rsidP="008722EB">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Latest figures reported</w:t>
            </w:r>
          </w:p>
        </w:tc>
        <w:tc>
          <w:tcPr>
            <w:tcW w:w="1890" w:type="dxa"/>
            <w:tcBorders>
              <w:top w:val="single" w:sz="4" w:space="0" w:color="auto"/>
              <w:left w:val="single" w:sz="4" w:space="0" w:color="auto"/>
              <w:right w:val="single" w:sz="4" w:space="0" w:color="auto"/>
            </w:tcBorders>
            <w:shd w:val="clear" w:color="auto" w:fill="D6E3BC" w:themeFill="accent3" w:themeFillTint="66"/>
            <w:vAlign w:val="center"/>
          </w:tcPr>
          <w:p w:rsidR="004D267B" w:rsidRDefault="008A7432" w:rsidP="008A7432">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 xml:space="preserve">Short Term Target </w:t>
            </w:r>
          </w:p>
          <w:p w:rsidR="008A7432" w:rsidRPr="001338F3" w:rsidRDefault="008A7432" w:rsidP="008A7432">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(1 year)</w:t>
            </w:r>
          </w:p>
        </w:tc>
        <w:tc>
          <w:tcPr>
            <w:tcW w:w="2307" w:type="dxa"/>
            <w:tcBorders>
              <w:top w:val="single" w:sz="4" w:space="0" w:color="auto"/>
              <w:left w:val="single" w:sz="4" w:space="0" w:color="auto"/>
              <w:right w:val="single" w:sz="4" w:space="0" w:color="auto"/>
            </w:tcBorders>
            <w:shd w:val="clear" w:color="auto" w:fill="D6E3BC" w:themeFill="accent3" w:themeFillTint="66"/>
            <w:vAlign w:val="center"/>
          </w:tcPr>
          <w:p w:rsidR="008A7432" w:rsidRPr="001338F3" w:rsidRDefault="008A7432" w:rsidP="008A7432">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Medium Term Target (3yr)</w:t>
            </w:r>
          </w:p>
        </w:tc>
        <w:tc>
          <w:tcPr>
            <w:tcW w:w="232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A7432" w:rsidRPr="001338F3" w:rsidRDefault="008A7432" w:rsidP="008A7432">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Long Term Target</w:t>
            </w:r>
          </w:p>
          <w:p w:rsidR="008A7432" w:rsidRPr="001338F3" w:rsidRDefault="008A7432" w:rsidP="008A7432">
            <w:pPr>
              <w:pStyle w:val="ListBullet"/>
              <w:numPr>
                <w:ilvl w:val="0"/>
                <w:numId w:val="0"/>
              </w:numPr>
              <w:tabs>
                <w:tab w:val="left" w:pos="720"/>
              </w:tabs>
              <w:jc w:val="center"/>
              <w:rPr>
                <w:rFonts w:ascii="Arial" w:hAnsi="Arial" w:cs="Arial"/>
                <w:b/>
                <w:sz w:val="22"/>
                <w:szCs w:val="22"/>
              </w:rPr>
            </w:pPr>
            <w:r w:rsidRPr="001338F3">
              <w:rPr>
                <w:rFonts w:ascii="Arial" w:hAnsi="Arial" w:cs="Arial"/>
                <w:b/>
                <w:sz w:val="22"/>
                <w:szCs w:val="22"/>
              </w:rPr>
              <w:t>(10yr)</w:t>
            </w:r>
          </w:p>
        </w:tc>
      </w:tr>
      <w:tr w:rsidR="00C958B7" w:rsidRPr="001338F3" w:rsidTr="00521C50">
        <w:trPr>
          <w:trHeight w:val="525"/>
        </w:trPr>
        <w:tc>
          <w:tcPr>
            <w:tcW w:w="3550" w:type="dxa"/>
            <w:tcBorders>
              <w:top w:val="single" w:sz="4" w:space="0" w:color="auto"/>
              <w:left w:val="single" w:sz="4" w:space="0" w:color="auto"/>
              <w:bottom w:val="single" w:sz="4" w:space="0" w:color="auto"/>
              <w:right w:val="single" w:sz="4" w:space="0" w:color="auto"/>
            </w:tcBorders>
          </w:tcPr>
          <w:p w:rsidR="00C958B7" w:rsidRPr="001338F3" w:rsidRDefault="00C958B7" w:rsidP="001338F3">
            <w:pPr>
              <w:pStyle w:val="ListBullet"/>
              <w:numPr>
                <w:ilvl w:val="0"/>
                <w:numId w:val="0"/>
              </w:numPr>
              <w:shd w:val="clear" w:color="auto" w:fill="FFFFFF"/>
              <w:tabs>
                <w:tab w:val="left" w:pos="720"/>
              </w:tabs>
              <w:rPr>
                <w:rFonts w:ascii="Arial" w:hAnsi="Arial" w:cs="Arial"/>
                <w:sz w:val="22"/>
                <w:szCs w:val="22"/>
              </w:rPr>
            </w:pPr>
            <w:r w:rsidRPr="001338F3">
              <w:rPr>
                <w:rFonts w:ascii="Arial" w:hAnsi="Arial" w:cs="Arial"/>
                <w:b/>
                <w:sz w:val="22"/>
                <w:szCs w:val="22"/>
              </w:rPr>
              <w:t>Reduce</w:t>
            </w:r>
            <w:r w:rsidRPr="001338F3">
              <w:rPr>
                <w:rFonts w:ascii="Arial" w:hAnsi="Arial" w:cs="Arial"/>
                <w:sz w:val="22"/>
                <w:szCs w:val="22"/>
              </w:rPr>
              <w:t xml:space="preserve"> proportion of South Lanarkshire residents earning below the Living Wage</w:t>
            </w:r>
          </w:p>
          <w:p w:rsidR="00C958B7" w:rsidRPr="001338F3" w:rsidRDefault="00C958B7" w:rsidP="001338F3">
            <w:pPr>
              <w:pStyle w:val="ListBullet"/>
              <w:numPr>
                <w:ilvl w:val="0"/>
                <w:numId w:val="0"/>
              </w:numPr>
              <w:shd w:val="clear" w:color="auto" w:fill="FFFFFF"/>
              <w:tabs>
                <w:tab w:val="left" w:pos="720"/>
              </w:tabs>
              <w:rPr>
                <w:rFonts w:ascii="Arial" w:hAnsi="Arial" w:cs="Arial"/>
                <w:sz w:val="22"/>
                <w:szCs w:val="22"/>
              </w:rPr>
            </w:pPr>
          </w:p>
          <w:p w:rsidR="00C958B7" w:rsidRPr="004D267B" w:rsidRDefault="00C958B7" w:rsidP="001338F3">
            <w:pPr>
              <w:pStyle w:val="ListBullet"/>
              <w:numPr>
                <w:ilvl w:val="0"/>
                <w:numId w:val="0"/>
              </w:numPr>
              <w:shd w:val="clear" w:color="auto" w:fill="FFFFFF"/>
              <w:tabs>
                <w:tab w:val="left" w:pos="720"/>
              </w:tabs>
              <w:rPr>
                <w:rFonts w:ascii="Arial" w:hAnsi="Arial" w:cs="Arial"/>
                <w:b/>
                <w:sz w:val="22"/>
                <w:szCs w:val="22"/>
              </w:rPr>
            </w:pPr>
            <w:r w:rsidRPr="004D267B">
              <w:rPr>
                <w:rFonts w:ascii="Arial" w:hAnsi="Arial" w:cs="Arial"/>
                <w:b/>
                <w:sz w:val="22"/>
                <w:szCs w:val="22"/>
              </w:rPr>
              <w:t>Source: Office for National Statistics (ONS)</w:t>
            </w:r>
          </w:p>
          <w:p w:rsidR="00C958B7" w:rsidRPr="001338F3" w:rsidRDefault="00C958B7" w:rsidP="001338F3">
            <w:pPr>
              <w:pStyle w:val="ListBullet"/>
              <w:numPr>
                <w:ilvl w:val="0"/>
                <w:numId w:val="0"/>
              </w:numPr>
              <w:shd w:val="clear" w:color="auto" w:fill="FFFFFF"/>
              <w:tabs>
                <w:tab w:val="left" w:pos="720"/>
              </w:tabs>
              <w:rPr>
                <w:rFonts w:ascii="Arial" w:hAnsi="Arial" w:cs="Arial"/>
                <w:sz w:val="22"/>
                <w:szCs w:val="22"/>
              </w:rPr>
            </w:pPr>
          </w:p>
          <w:p w:rsidR="00C958B7" w:rsidRPr="001338F3" w:rsidRDefault="00C958B7" w:rsidP="001338F3">
            <w:pPr>
              <w:pStyle w:val="ListBullet"/>
              <w:numPr>
                <w:ilvl w:val="0"/>
                <w:numId w:val="0"/>
              </w:numPr>
              <w:shd w:val="clear" w:color="auto" w:fill="FFFFFF"/>
              <w:tabs>
                <w:tab w:val="left" w:pos="720"/>
              </w:tabs>
              <w:rPr>
                <w:rFonts w:ascii="Arial" w:hAnsi="Arial" w:cs="Arial"/>
                <w:sz w:val="22"/>
                <w:szCs w:val="22"/>
              </w:rPr>
            </w:pPr>
          </w:p>
        </w:tc>
        <w:tc>
          <w:tcPr>
            <w:tcW w:w="1945" w:type="dxa"/>
            <w:tcBorders>
              <w:top w:val="single" w:sz="4" w:space="0" w:color="auto"/>
              <w:left w:val="single" w:sz="4" w:space="0" w:color="auto"/>
              <w:bottom w:val="single" w:sz="4" w:space="0" w:color="auto"/>
              <w:right w:val="single" w:sz="4" w:space="0" w:color="auto"/>
            </w:tcBorders>
          </w:tcPr>
          <w:p w:rsidR="00C958B7" w:rsidRDefault="00C958B7" w:rsidP="00D70E88">
            <w:pPr>
              <w:pStyle w:val="ListBullet"/>
              <w:numPr>
                <w:ilvl w:val="0"/>
                <w:numId w:val="0"/>
              </w:numPr>
              <w:shd w:val="clear" w:color="auto" w:fill="FFFFFF"/>
              <w:tabs>
                <w:tab w:val="left" w:pos="720"/>
              </w:tabs>
              <w:jc w:val="center"/>
              <w:rPr>
                <w:rFonts w:ascii="Arial" w:hAnsi="Arial" w:cs="Arial"/>
                <w:sz w:val="22"/>
                <w:szCs w:val="22"/>
              </w:rPr>
            </w:pPr>
            <w:r>
              <w:rPr>
                <w:rFonts w:ascii="Arial" w:hAnsi="Arial" w:cs="Arial"/>
                <w:sz w:val="22"/>
                <w:szCs w:val="22"/>
              </w:rPr>
              <w:t>(</w:t>
            </w:r>
            <w:r w:rsidRPr="001338F3">
              <w:rPr>
                <w:rFonts w:ascii="Arial" w:hAnsi="Arial" w:cs="Arial"/>
                <w:sz w:val="22"/>
                <w:szCs w:val="22"/>
              </w:rPr>
              <w:t>2016</w:t>
            </w:r>
            <w:r>
              <w:rPr>
                <w:rFonts w:ascii="Arial" w:hAnsi="Arial" w:cs="Arial"/>
                <w:sz w:val="22"/>
                <w:szCs w:val="22"/>
              </w:rPr>
              <w:t>)</w:t>
            </w:r>
          </w:p>
          <w:p w:rsidR="0038724A" w:rsidRPr="001338F3" w:rsidRDefault="0038724A" w:rsidP="00D70E88">
            <w:pPr>
              <w:pStyle w:val="ListBullet"/>
              <w:numPr>
                <w:ilvl w:val="0"/>
                <w:numId w:val="0"/>
              </w:numPr>
              <w:shd w:val="clear" w:color="auto" w:fill="FFFFFF"/>
              <w:tabs>
                <w:tab w:val="left" w:pos="720"/>
              </w:tabs>
              <w:jc w:val="center"/>
              <w:rPr>
                <w:rFonts w:ascii="Arial" w:hAnsi="Arial" w:cs="Arial"/>
                <w:sz w:val="22"/>
                <w:szCs w:val="22"/>
              </w:rPr>
            </w:pPr>
          </w:p>
          <w:p w:rsidR="00C958B7" w:rsidRPr="001338F3" w:rsidRDefault="00C958B7" w:rsidP="00D70E88">
            <w:pPr>
              <w:pStyle w:val="ListBullet"/>
              <w:numPr>
                <w:ilvl w:val="0"/>
                <w:numId w:val="0"/>
              </w:numPr>
              <w:shd w:val="clear" w:color="auto" w:fill="FFFFFF"/>
              <w:tabs>
                <w:tab w:val="left" w:pos="720"/>
              </w:tabs>
              <w:jc w:val="center"/>
              <w:rPr>
                <w:rFonts w:ascii="Arial" w:hAnsi="Arial" w:cs="Arial"/>
                <w:sz w:val="22"/>
                <w:szCs w:val="22"/>
              </w:rPr>
            </w:pPr>
            <w:r w:rsidRPr="001338F3">
              <w:rPr>
                <w:rFonts w:ascii="Arial" w:hAnsi="Arial" w:cs="Arial"/>
                <w:sz w:val="22"/>
                <w:szCs w:val="22"/>
              </w:rPr>
              <w:t xml:space="preserve">18.7% of residents in jobs earning </w:t>
            </w:r>
            <w:r>
              <w:rPr>
                <w:rFonts w:ascii="Arial" w:hAnsi="Arial" w:cs="Arial"/>
                <w:sz w:val="22"/>
                <w:szCs w:val="22"/>
              </w:rPr>
              <w:t>below</w:t>
            </w:r>
            <w:r w:rsidRPr="001338F3">
              <w:rPr>
                <w:rFonts w:ascii="Arial" w:hAnsi="Arial" w:cs="Arial"/>
                <w:sz w:val="22"/>
                <w:szCs w:val="22"/>
              </w:rPr>
              <w:t xml:space="preserve"> the Living Wage</w:t>
            </w:r>
          </w:p>
          <w:p w:rsidR="00C958B7" w:rsidRPr="001338F3" w:rsidRDefault="00C958B7" w:rsidP="00D70E88">
            <w:pPr>
              <w:pStyle w:val="ListBullet"/>
              <w:numPr>
                <w:ilvl w:val="0"/>
                <w:numId w:val="0"/>
              </w:numPr>
              <w:shd w:val="clear" w:color="auto" w:fill="FFFFFF"/>
              <w:tabs>
                <w:tab w:val="left" w:pos="720"/>
              </w:tabs>
              <w:jc w:val="center"/>
              <w:rPr>
                <w:rFonts w:ascii="Arial" w:hAnsi="Arial" w:cs="Arial"/>
                <w:sz w:val="22"/>
                <w:szCs w:val="22"/>
              </w:rPr>
            </w:pPr>
          </w:p>
          <w:p w:rsidR="00C958B7" w:rsidRPr="001338F3" w:rsidRDefault="00C958B7" w:rsidP="00051F2A">
            <w:pPr>
              <w:pStyle w:val="ListBullet"/>
              <w:numPr>
                <w:ilvl w:val="0"/>
                <w:numId w:val="0"/>
              </w:numPr>
              <w:shd w:val="clear" w:color="auto" w:fill="FFFFFF"/>
              <w:tabs>
                <w:tab w:val="left" w:pos="720"/>
              </w:tabs>
              <w:jc w:val="center"/>
              <w:rPr>
                <w:rFonts w:ascii="Arial" w:hAnsi="Arial" w:cs="Arial"/>
                <w:sz w:val="22"/>
                <w:szCs w:val="22"/>
              </w:rPr>
            </w:pPr>
            <w:r w:rsidRPr="001338F3">
              <w:rPr>
                <w:rFonts w:ascii="Arial" w:hAnsi="Arial" w:cs="Arial"/>
                <w:sz w:val="22"/>
                <w:szCs w:val="22"/>
              </w:rPr>
              <w:t>Scotland</w:t>
            </w:r>
            <w:r>
              <w:rPr>
                <w:rFonts w:ascii="Arial" w:hAnsi="Arial" w:cs="Arial"/>
                <w:sz w:val="22"/>
                <w:szCs w:val="22"/>
              </w:rPr>
              <w:t xml:space="preserve"> -</w:t>
            </w:r>
            <w:r w:rsidRPr="001338F3">
              <w:rPr>
                <w:rFonts w:ascii="Arial" w:hAnsi="Arial" w:cs="Arial"/>
                <w:sz w:val="22"/>
                <w:szCs w:val="22"/>
              </w:rPr>
              <w:t xml:space="preserve"> 20.1% </w:t>
            </w:r>
          </w:p>
        </w:tc>
        <w:tc>
          <w:tcPr>
            <w:tcW w:w="2410" w:type="dxa"/>
            <w:tcBorders>
              <w:left w:val="single" w:sz="4" w:space="0" w:color="auto"/>
              <w:right w:val="single" w:sz="4" w:space="0" w:color="auto"/>
            </w:tcBorders>
          </w:tcPr>
          <w:p w:rsidR="00C958B7" w:rsidRDefault="00C958B7" w:rsidP="00944F80">
            <w:pPr>
              <w:pStyle w:val="ListBullet"/>
              <w:numPr>
                <w:ilvl w:val="0"/>
                <w:numId w:val="0"/>
              </w:numPr>
              <w:shd w:val="clear" w:color="auto" w:fill="FFFFFF"/>
              <w:tabs>
                <w:tab w:val="left" w:pos="720"/>
              </w:tabs>
              <w:jc w:val="center"/>
              <w:rPr>
                <w:rFonts w:ascii="Arial" w:hAnsi="Arial" w:cs="Arial"/>
                <w:sz w:val="22"/>
                <w:szCs w:val="22"/>
              </w:rPr>
            </w:pPr>
            <w:r>
              <w:rPr>
                <w:rFonts w:ascii="Arial" w:hAnsi="Arial" w:cs="Arial"/>
                <w:sz w:val="22"/>
                <w:szCs w:val="22"/>
              </w:rPr>
              <w:t>(</w:t>
            </w:r>
            <w:r w:rsidRPr="001338F3">
              <w:rPr>
                <w:rFonts w:ascii="Arial" w:hAnsi="Arial" w:cs="Arial"/>
                <w:sz w:val="22"/>
                <w:szCs w:val="22"/>
              </w:rPr>
              <w:t>2016</w:t>
            </w:r>
            <w:r>
              <w:rPr>
                <w:rFonts w:ascii="Arial" w:hAnsi="Arial" w:cs="Arial"/>
                <w:sz w:val="22"/>
                <w:szCs w:val="22"/>
              </w:rPr>
              <w:t>)</w:t>
            </w:r>
          </w:p>
          <w:p w:rsidR="0038724A" w:rsidRPr="001338F3" w:rsidRDefault="0038724A" w:rsidP="00944F80">
            <w:pPr>
              <w:pStyle w:val="ListBullet"/>
              <w:numPr>
                <w:ilvl w:val="0"/>
                <w:numId w:val="0"/>
              </w:numPr>
              <w:shd w:val="clear" w:color="auto" w:fill="FFFFFF"/>
              <w:tabs>
                <w:tab w:val="left" w:pos="720"/>
              </w:tabs>
              <w:jc w:val="center"/>
              <w:rPr>
                <w:rFonts w:ascii="Arial" w:hAnsi="Arial" w:cs="Arial"/>
                <w:sz w:val="22"/>
                <w:szCs w:val="22"/>
              </w:rPr>
            </w:pPr>
          </w:p>
          <w:p w:rsidR="00C958B7" w:rsidRPr="001338F3" w:rsidRDefault="00C958B7" w:rsidP="00944F80">
            <w:pPr>
              <w:pStyle w:val="ListBullet"/>
              <w:numPr>
                <w:ilvl w:val="0"/>
                <w:numId w:val="0"/>
              </w:numPr>
              <w:shd w:val="clear" w:color="auto" w:fill="FFFFFF"/>
              <w:tabs>
                <w:tab w:val="left" w:pos="720"/>
              </w:tabs>
              <w:jc w:val="center"/>
              <w:rPr>
                <w:rFonts w:ascii="Arial" w:hAnsi="Arial" w:cs="Arial"/>
                <w:sz w:val="22"/>
                <w:szCs w:val="22"/>
              </w:rPr>
            </w:pPr>
            <w:r w:rsidRPr="001338F3">
              <w:rPr>
                <w:rFonts w:ascii="Arial" w:hAnsi="Arial" w:cs="Arial"/>
                <w:sz w:val="22"/>
                <w:szCs w:val="22"/>
              </w:rPr>
              <w:t xml:space="preserve">18.7% of residents in jobs earning </w:t>
            </w:r>
            <w:r>
              <w:rPr>
                <w:rFonts w:ascii="Arial" w:hAnsi="Arial" w:cs="Arial"/>
                <w:sz w:val="22"/>
                <w:szCs w:val="22"/>
              </w:rPr>
              <w:t>below</w:t>
            </w:r>
            <w:r w:rsidRPr="001338F3">
              <w:rPr>
                <w:rFonts w:ascii="Arial" w:hAnsi="Arial" w:cs="Arial"/>
                <w:sz w:val="22"/>
                <w:szCs w:val="22"/>
              </w:rPr>
              <w:t xml:space="preserve"> the Living Wage</w:t>
            </w:r>
          </w:p>
          <w:p w:rsidR="00C958B7" w:rsidRPr="001338F3" w:rsidRDefault="00C958B7" w:rsidP="00944F80">
            <w:pPr>
              <w:pStyle w:val="ListBullet"/>
              <w:numPr>
                <w:ilvl w:val="0"/>
                <w:numId w:val="0"/>
              </w:numPr>
              <w:shd w:val="clear" w:color="auto" w:fill="FFFFFF"/>
              <w:tabs>
                <w:tab w:val="left" w:pos="720"/>
              </w:tabs>
              <w:jc w:val="center"/>
              <w:rPr>
                <w:rFonts w:ascii="Arial" w:hAnsi="Arial" w:cs="Arial"/>
                <w:sz w:val="22"/>
                <w:szCs w:val="22"/>
              </w:rPr>
            </w:pPr>
          </w:p>
          <w:p w:rsidR="00C958B7" w:rsidRPr="001338F3" w:rsidRDefault="00C958B7" w:rsidP="00944F80">
            <w:pPr>
              <w:pStyle w:val="ListBullet"/>
              <w:numPr>
                <w:ilvl w:val="0"/>
                <w:numId w:val="0"/>
              </w:numPr>
              <w:shd w:val="clear" w:color="auto" w:fill="FFFFFF"/>
              <w:tabs>
                <w:tab w:val="left" w:pos="720"/>
              </w:tabs>
              <w:jc w:val="center"/>
              <w:rPr>
                <w:rFonts w:ascii="Arial" w:hAnsi="Arial" w:cs="Arial"/>
                <w:sz w:val="22"/>
                <w:szCs w:val="22"/>
              </w:rPr>
            </w:pPr>
            <w:r w:rsidRPr="001338F3">
              <w:rPr>
                <w:rFonts w:ascii="Arial" w:hAnsi="Arial" w:cs="Arial"/>
                <w:sz w:val="22"/>
                <w:szCs w:val="22"/>
              </w:rPr>
              <w:t>Scotland</w:t>
            </w:r>
            <w:r>
              <w:rPr>
                <w:rFonts w:ascii="Arial" w:hAnsi="Arial" w:cs="Arial"/>
                <w:sz w:val="22"/>
                <w:szCs w:val="22"/>
              </w:rPr>
              <w:t xml:space="preserve"> -</w:t>
            </w:r>
            <w:r w:rsidRPr="001338F3">
              <w:rPr>
                <w:rFonts w:ascii="Arial" w:hAnsi="Arial" w:cs="Arial"/>
                <w:sz w:val="22"/>
                <w:szCs w:val="22"/>
              </w:rPr>
              <w:t xml:space="preserve"> 20.1%</w:t>
            </w:r>
          </w:p>
        </w:tc>
        <w:tc>
          <w:tcPr>
            <w:tcW w:w="1890" w:type="dxa"/>
            <w:tcBorders>
              <w:left w:val="single" w:sz="4" w:space="0" w:color="auto"/>
              <w:right w:val="single" w:sz="4" w:space="0" w:color="auto"/>
            </w:tcBorders>
          </w:tcPr>
          <w:p w:rsidR="00C958B7" w:rsidRPr="001338F3" w:rsidRDefault="00C958B7" w:rsidP="004D267B">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 below the Scottish A</w:t>
            </w:r>
            <w:r w:rsidRPr="001338F3">
              <w:rPr>
                <w:rFonts w:ascii="Arial" w:hAnsi="Arial" w:cs="Arial"/>
                <w:sz w:val="22"/>
                <w:szCs w:val="22"/>
              </w:rPr>
              <w:t>verage</w:t>
            </w:r>
          </w:p>
        </w:tc>
        <w:tc>
          <w:tcPr>
            <w:tcW w:w="2307" w:type="dxa"/>
            <w:tcBorders>
              <w:left w:val="single" w:sz="4" w:space="0" w:color="auto"/>
              <w:right w:val="single" w:sz="4" w:space="0" w:color="auto"/>
            </w:tcBorders>
          </w:tcPr>
          <w:p w:rsidR="00C958B7" w:rsidRPr="001338F3" w:rsidRDefault="00C958B7" w:rsidP="004D267B">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Maintain below the Scottish Average</w:t>
            </w:r>
          </w:p>
          <w:p w:rsidR="00C958B7" w:rsidRPr="001338F3" w:rsidRDefault="00C958B7" w:rsidP="004D267B">
            <w:pPr>
              <w:pStyle w:val="ListBullet"/>
              <w:numPr>
                <w:ilvl w:val="0"/>
                <w:numId w:val="0"/>
              </w:numPr>
              <w:tabs>
                <w:tab w:val="left" w:pos="720"/>
              </w:tabs>
              <w:jc w:val="center"/>
              <w:rPr>
                <w:rFonts w:ascii="Arial" w:hAnsi="Arial" w:cs="Arial"/>
                <w:sz w:val="22"/>
                <w:szCs w:val="22"/>
              </w:rPr>
            </w:pPr>
          </w:p>
          <w:p w:rsidR="00C958B7" w:rsidRPr="001338F3" w:rsidRDefault="00C958B7" w:rsidP="004D267B">
            <w:pPr>
              <w:pStyle w:val="ListBullet"/>
              <w:numPr>
                <w:ilvl w:val="0"/>
                <w:numId w:val="0"/>
              </w:numPr>
              <w:shd w:val="clear" w:color="auto" w:fill="FFFFFF"/>
              <w:tabs>
                <w:tab w:val="left" w:pos="720"/>
              </w:tabs>
              <w:jc w:val="center"/>
              <w:rPr>
                <w:rFonts w:ascii="Arial" w:hAnsi="Arial" w:cs="Arial"/>
                <w:sz w:val="22"/>
                <w:szCs w:val="22"/>
              </w:rPr>
            </w:pPr>
          </w:p>
          <w:p w:rsidR="00C958B7" w:rsidRPr="001338F3" w:rsidRDefault="00C958B7" w:rsidP="004D267B">
            <w:pPr>
              <w:pStyle w:val="ListBullet"/>
              <w:numPr>
                <w:ilvl w:val="0"/>
                <w:numId w:val="0"/>
              </w:numPr>
              <w:tabs>
                <w:tab w:val="left" w:pos="720"/>
              </w:tabs>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rsidR="00C958B7" w:rsidRPr="001338F3" w:rsidRDefault="00C958B7" w:rsidP="004D267B">
            <w:pPr>
              <w:pStyle w:val="ListBullet"/>
              <w:numPr>
                <w:ilvl w:val="0"/>
                <w:numId w:val="0"/>
              </w:numPr>
              <w:shd w:val="clear" w:color="auto" w:fill="FFFFFF"/>
              <w:tabs>
                <w:tab w:val="left" w:pos="720"/>
              </w:tabs>
              <w:jc w:val="center"/>
              <w:rPr>
                <w:rFonts w:ascii="Arial" w:hAnsi="Arial" w:cs="Arial"/>
                <w:sz w:val="22"/>
                <w:szCs w:val="22"/>
              </w:rPr>
            </w:pPr>
            <w:r w:rsidRPr="001338F3">
              <w:rPr>
                <w:rFonts w:ascii="Arial" w:hAnsi="Arial" w:cs="Arial"/>
                <w:sz w:val="22"/>
                <w:szCs w:val="22"/>
              </w:rPr>
              <w:t>Maintain below the Scottish Average</w:t>
            </w:r>
          </w:p>
        </w:tc>
      </w:tr>
      <w:tr w:rsidR="00C958B7" w:rsidRPr="001338F3" w:rsidTr="00521C50">
        <w:trPr>
          <w:trHeight w:val="525"/>
        </w:trPr>
        <w:tc>
          <w:tcPr>
            <w:tcW w:w="3550" w:type="dxa"/>
            <w:tcBorders>
              <w:top w:val="single" w:sz="4" w:space="0" w:color="auto"/>
              <w:left w:val="single" w:sz="4" w:space="0" w:color="auto"/>
              <w:bottom w:val="single" w:sz="4" w:space="0" w:color="auto"/>
              <w:right w:val="single" w:sz="4" w:space="0" w:color="auto"/>
            </w:tcBorders>
          </w:tcPr>
          <w:p w:rsidR="00C958B7" w:rsidRPr="001338F3" w:rsidRDefault="00C958B7" w:rsidP="001338F3">
            <w:pPr>
              <w:pStyle w:val="ListBullet"/>
              <w:numPr>
                <w:ilvl w:val="0"/>
                <w:numId w:val="0"/>
              </w:numPr>
              <w:tabs>
                <w:tab w:val="left" w:pos="720"/>
              </w:tabs>
              <w:rPr>
                <w:rFonts w:ascii="Arial" w:hAnsi="Arial" w:cs="Arial"/>
                <w:sz w:val="22"/>
                <w:szCs w:val="22"/>
              </w:rPr>
            </w:pPr>
            <w:r w:rsidRPr="001338F3">
              <w:rPr>
                <w:rFonts w:ascii="Arial" w:hAnsi="Arial" w:cs="Arial"/>
                <w:b/>
                <w:sz w:val="22"/>
                <w:szCs w:val="22"/>
              </w:rPr>
              <w:t xml:space="preserve">Increase </w:t>
            </w:r>
            <w:r w:rsidRPr="001338F3">
              <w:rPr>
                <w:rFonts w:ascii="Arial" w:hAnsi="Arial" w:cs="Arial"/>
                <w:sz w:val="22"/>
                <w:szCs w:val="22"/>
              </w:rPr>
              <w:t>Employment Rate</w:t>
            </w:r>
          </w:p>
          <w:p w:rsidR="00C958B7" w:rsidRPr="001338F3" w:rsidRDefault="00C958B7" w:rsidP="001338F3">
            <w:pPr>
              <w:pStyle w:val="ListBullet"/>
              <w:numPr>
                <w:ilvl w:val="0"/>
                <w:numId w:val="0"/>
              </w:numPr>
              <w:tabs>
                <w:tab w:val="left" w:pos="720"/>
              </w:tabs>
              <w:rPr>
                <w:rFonts w:ascii="Arial" w:hAnsi="Arial" w:cs="Arial"/>
                <w:sz w:val="22"/>
                <w:szCs w:val="22"/>
              </w:rPr>
            </w:pPr>
          </w:p>
          <w:p w:rsidR="00C958B7" w:rsidRPr="00FF4A13" w:rsidRDefault="00C958B7" w:rsidP="001338F3">
            <w:pPr>
              <w:pStyle w:val="ListBullet"/>
              <w:numPr>
                <w:ilvl w:val="0"/>
                <w:numId w:val="0"/>
              </w:numPr>
              <w:tabs>
                <w:tab w:val="left" w:pos="720"/>
              </w:tabs>
              <w:rPr>
                <w:rFonts w:ascii="Arial" w:hAnsi="Arial" w:cs="Arial"/>
                <w:b/>
                <w:sz w:val="22"/>
                <w:szCs w:val="22"/>
              </w:rPr>
            </w:pPr>
            <w:r w:rsidRPr="00FF4A13">
              <w:rPr>
                <w:rFonts w:ascii="Arial" w:hAnsi="Arial" w:cs="Arial"/>
                <w:b/>
                <w:sz w:val="22"/>
                <w:szCs w:val="22"/>
              </w:rPr>
              <w:t>Source:- Annual Population Survey (APS)</w:t>
            </w:r>
          </w:p>
          <w:p w:rsidR="00C958B7" w:rsidRPr="001338F3" w:rsidRDefault="00C958B7" w:rsidP="001338F3">
            <w:pPr>
              <w:pStyle w:val="ListBullet"/>
              <w:numPr>
                <w:ilvl w:val="0"/>
                <w:numId w:val="0"/>
              </w:numPr>
              <w:tabs>
                <w:tab w:val="left" w:pos="720"/>
              </w:tabs>
              <w:rPr>
                <w:rFonts w:ascii="Arial" w:hAnsi="Arial" w:cs="Arial"/>
                <w:sz w:val="22"/>
                <w:szCs w:val="22"/>
              </w:rPr>
            </w:pPr>
          </w:p>
        </w:tc>
        <w:tc>
          <w:tcPr>
            <w:tcW w:w="1945" w:type="dxa"/>
            <w:tcBorders>
              <w:top w:val="single" w:sz="4" w:space="0" w:color="auto"/>
              <w:left w:val="single" w:sz="4" w:space="0" w:color="auto"/>
              <w:bottom w:val="single" w:sz="4" w:space="0" w:color="auto"/>
              <w:right w:val="single" w:sz="4" w:space="0" w:color="auto"/>
            </w:tcBorders>
          </w:tcPr>
          <w:p w:rsidR="00C958B7" w:rsidRDefault="00C958B7" w:rsidP="00D70E88">
            <w:pPr>
              <w:jc w:val="center"/>
              <w:rPr>
                <w:rFonts w:cs="Arial"/>
              </w:rPr>
            </w:pPr>
            <w:r>
              <w:rPr>
                <w:rFonts w:cs="Arial"/>
              </w:rPr>
              <w:t>(</w:t>
            </w:r>
            <w:r w:rsidRPr="0039506C">
              <w:rPr>
                <w:rFonts w:cs="Arial"/>
              </w:rPr>
              <w:t xml:space="preserve">2016 </w:t>
            </w:r>
          </w:p>
          <w:p w:rsidR="00C958B7" w:rsidRDefault="00C958B7" w:rsidP="00D70E88">
            <w:pPr>
              <w:jc w:val="center"/>
              <w:rPr>
                <w:rFonts w:cs="Arial"/>
              </w:rPr>
            </w:pPr>
            <w:r w:rsidRPr="0039506C">
              <w:rPr>
                <w:rFonts w:cs="Arial"/>
              </w:rPr>
              <w:t>Jan-Dec</w:t>
            </w:r>
            <w:r>
              <w:rPr>
                <w:rFonts w:cs="Arial"/>
              </w:rPr>
              <w:t>)</w:t>
            </w:r>
          </w:p>
          <w:p w:rsidR="0038724A" w:rsidRPr="0039506C" w:rsidRDefault="0038724A" w:rsidP="00D70E88">
            <w:pPr>
              <w:jc w:val="center"/>
              <w:rPr>
                <w:rFonts w:cs="Arial"/>
              </w:rPr>
            </w:pPr>
          </w:p>
          <w:p w:rsidR="00C958B7" w:rsidRPr="001338F3" w:rsidRDefault="00C958B7" w:rsidP="00D70E88">
            <w:pPr>
              <w:jc w:val="center"/>
              <w:rPr>
                <w:rFonts w:cs="Arial"/>
              </w:rPr>
            </w:pPr>
            <w:r w:rsidRPr="001338F3">
              <w:rPr>
                <w:rFonts w:cs="Arial"/>
              </w:rPr>
              <w:t>South Lanarkshire</w:t>
            </w:r>
            <w:r>
              <w:rPr>
                <w:rFonts w:cs="Arial"/>
              </w:rPr>
              <w:t xml:space="preserve"> -</w:t>
            </w:r>
            <w:r w:rsidRPr="001338F3">
              <w:rPr>
                <w:rFonts w:cs="Arial"/>
              </w:rPr>
              <w:t xml:space="preserve"> 75.2%</w:t>
            </w:r>
          </w:p>
          <w:p w:rsidR="00C958B7" w:rsidRPr="001338F3" w:rsidRDefault="00C958B7" w:rsidP="00D70E88">
            <w:pPr>
              <w:jc w:val="center"/>
              <w:rPr>
                <w:rFonts w:cs="Arial"/>
              </w:rPr>
            </w:pPr>
          </w:p>
          <w:p w:rsidR="00C958B7" w:rsidRPr="001338F3" w:rsidRDefault="00C958B7" w:rsidP="00804CE1">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Scotland - </w:t>
            </w:r>
            <w:r w:rsidRPr="001338F3">
              <w:rPr>
                <w:rFonts w:ascii="Arial" w:hAnsi="Arial" w:cs="Arial"/>
                <w:sz w:val="22"/>
                <w:szCs w:val="22"/>
              </w:rPr>
              <w:t>72.9%</w:t>
            </w:r>
          </w:p>
        </w:tc>
        <w:tc>
          <w:tcPr>
            <w:tcW w:w="2410" w:type="dxa"/>
            <w:tcBorders>
              <w:top w:val="single" w:sz="4" w:space="0" w:color="auto"/>
              <w:left w:val="single" w:sz="4" w:space="0" w:color="auto"/>
              <w:bottom w:val="single" w:sz="4" w:space="0" w:color="auto"/>
              <w:right w:val="single" w:sz="4" w:space="0" w:color="auto"/>
            </w:tcBorders>
          </w:tcPr>
          <w:p w:rsidR="00C958B7" w:rsidRPr="0038724A" w:rsidRDefault="00C958B7" w:rsidP="00944F80">
            <w:pPr>
              <w:jc w:val="center"/>
              <w:rPr>
                <w:rFonts w:cs="Arial"/>
              </w:rPr>
            </w:pPr>
            <w:r w:rsidRPr="0038724A">
              <w:rPr>
                <w:rFonts w:cs="Arial"/>
              </w:rPr>
              <w:t xml:space="preserve">(2017 </w:t>
            </w:r>
          </w:p>
          <w:p w:rsidR="00C958B7" w:rsidRDefault="00C958B7" w:rsidP="00944F80">
            <w:pPr>
              <w:jc w:val="center"/>
              <w:rPr>
                <w:rFonts w:cs="Arial"/>
              </w:rPr>
            </w:pPr>
            <w:r w:rsidRPr="0038724A">
              <w:rPr>
                <w:rFonts w:cs="Arial"/>
              </w:rPr>
              <w:t>Jan-Dec)</w:t>
            </w:r>
          </w:p>
          <w:p w:rsidR="0038724A" w:rsidRPr="0038724A" w:rsidRDefault="0038724A" w:rsidP="00944F80">
            <w:pPr>
              <w:jc w:val="center"/>
              <w:rPr>
                <w:rFonts w:cs="Arial"/>
              </w:rPr>
            </w:pPr>
          </w:p>
          <w:p w:rsidR="00C958B7" w:rsidRPr="0038724A" w:rsidRDefault="00C958B7" w:rsidP="00944F80">
            <w:pPr>
              <w:jc w:val="center"/>
              <w:rPr>
                <w:rFonts w:cs="Arial"/>
              </w:rPr>
            </w:pPr>
            <w:r w:rsidRPr="0038724A">
              <w:rPr>
                <w:rFonts w:cs="Arial"/>
              </w:rPr>
              <w:t>South Lanarkshire – 74.7%</w:t>
            </w:r>
          </w:p>
          <w:p w:rsidR="00C958B7" w:rsidRPr="0038724A" w:rsidRDefault="00C958B7" w:rsidP="00944F80">
            <w:pPr>
              <w:jc w:val="center"/>
              <w:rPr>
                <w:rFonts w:cs="Arial"/>
              </w:rPr>
            </w:pPr>
          </w:p>
          <w:p w:rsidR="00C958B7" w:rsidRPr="00CA25C9" w:rsidRDefault="00C958B7" w:rsidP="00944F80">
            <w:pPr>
              <w:pStyle w:val="ListBullet"/>
              <w:numPr>
                <w:ilvl w:val="0"/>
                <w:numId w:val="0"/>
              </w:numPr>
              <w:tabs>
                <w:tab w:val="left" w:pos="720"/>
              </w:tabs>
              <w:jc w:val="center"/>
              <w:rPr>
                <w:rFonts w:ascii="Arial" w:hAnsi="Arial" w:cs="Arial"/>
                <w:color w:val="FF0000"/>
                <w:sz w:val="22"/>
                <w:szCs w:val="22"/>
              </w:rPr>
            </w:pPr>
            <w:r w:rsidRPr="0038724A">
              <w:rPr>
                <w:rFonts w:ascii="Arial" w:hAnsi="Arial" w:cs="Arial"/>
                <w:sz w:val="22"/>
                <w:szCs w:val="22"/>
              </w:rPr>
              <w:t>Scotland – 74.3%</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4D267B">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 above Scottish A</w:t>
            </w:r>
            <w:r w:rsidRPr="001338F3">
              <w:rPr>
                <w:rFonts w:ascii="Arial" w:hAnsi="Arial" w:cs="Arial"/>
                <w:sz w:val="22"/>
                <w:szCs w:val="22"/>
              </w:rPr>
              <w:t>verage</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4D267B">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 xml:space="preserve">Maintain above Scottish </w:t>
            </w:r>
            <w:r>
              <w:rPr>
                <w:rFonts w:ascii="Arial" w:hAnsi="Arial" w:cs="Arial"/>
                <w:sz w:val="22"/>
                <w:szCs w:val="22"/>
              </w:rPr>
              <w:t>A</w:t>
            </w:r>
            <w:r w:rsidRPr="001338F3">
              <w:rPr>
                <w:rFonts w:ascii="Arial" w:hAnsi="Arial" w:cs="Arial"/>
                <w:sz w:val="22"/>
                <w:szCs w:val="22"/>
              </w:rPr>
              <w:t>verage</w:t>
            </w:r>
          </w:p>
        </w:tc>
        <w:tc>
          <w:tcPr>
            <w:tcW w:w="2323" w:type="dxa"/>
            <w:tcBorders>
              <w:top w:val="single" w:sz="4" w:space="0" w:color="auto"/>
              <w:left w:val="single" w:sz="4" w:space="0" w:color="auto"/>
              <w:bottom w:val="single" w:sz="4" w:space="0" w:color="auto"/>
              <w:right w:val="single" w:sz="4" w:space="0" w:color="auto"/>
            </w:tcBorders>
            <w:shd w:val="clear" w:color="auto" w:fill="FFFFFF" w:themeFill="background1"/>
          </w:tcPr>
          <w:p w:rsidR="00C958B7" w:rsidRPr="001338F3" w:rsidRDefault="00C958B7" w:rsidP="004D267B">
            <w:pPr>
              <w:pStyle w:val="ListBullet"/>
              <w:numPr>
                <w:ilvl w:val="0"/>
                <w:numId w:val="0"/>
              </w:numPr>
              <w:tabs>
                <w:tab w:val="left" w:pos="720"/>
              </w:tabs>
              <w:jc w:val="center"/>
              <w:rPr>
                <w:rFonts w:ascii="Arial" w:hAnsi="Arial" w:cs="Arial"/>
                <w:sz w:val="22"/>
                <w:szCs w:val="22"/>
              </w:rPr>
            </w:pPr>
            <w:r w:rsidRPr="001338F3">
              <w:rPr>
                <w:rFonts w:ascii="Arial" w:hAnsi="Arial" w:cs="Arial"/>
                <w:sz w:val="22"/>
                <w:szCs w:val="22"/>
              </w:rPr>
              <w:t>Increase to 80%</w:t>
            </w:r>
          </w:p>
        </w:tc>
      </w:tr>
      <w:tr w:rsidR="00CA70D4" w:rsidRPr="006B763F" w:rsidTr="00521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25"/>
        </w:trPr>
        <w:tc>
          <w:tcPr>
            <w:tcW w:w="3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70D4" w:rsidRPr="006B763F" w:rsidRDefault="00CA70D4" w:rsidP="00CA70D4">
            <w:pPr>
              <w:pStyle w:val="ListBullet"/>
              <w:numPr>
                <w:ilvl w:val="0"/>
                <w:numId w:val="0"/>
              </w:numPr>
              <w:tabs>
                <w:tab w:val="left" w:pos="720"/>
              </w:tabs>
              <w:rPr>
                <w:rFonts w:ascii="Arial" w:eastAsiaTheme="minorHAnsi" w:hAnsi="Arial" w:cs="Arial"/>
                <w:sz w:val="22"/>
                <w:szCs w:val="22"/>
              </w:rPr>
            </w:pPr>
            <w:r w:rsidRPr="006B763F">
              <w:rPr>
                <w:rFonts w:ascii="Arial" w:hAnsi="Arial" w:cs="Arial"/>
                <w:b/>
                <w:bCs/>
                <w:sz w:val="22"/>
                <w:szCs w:val="22"/>
              </w:rPr>
              <w:t>Reduce</w:t>
            </w:r>
            <w:r w:rsidRPr="006B763F">
              <w:rPr>
                <w:rFonts w:ascii="Arial" w:hAnsi="Arial" w:cs="Arial"/>
                <w:sz w:val="22"/>
                <w:szCs w:val="22"/>
              </w:rPr>
              <w:t xml:space="preserve"> the proportion of working age residents who are </w:t>
            </w:r>
            <w:r>
              <w:rPr>
                <w:rFonts w:ascii="Arial" w:hAnsi="Arial" w:cs="Arial"/>
                <w:sz w:val="22"/>
                <w:szCs w:val="22"/>
              </w:rPr>
              <w:t>e</w:t>
            </w:r>
            <w:r w:rsidRPr="006B763F">
              <w:rPr>
                <w:rFonts w:ascii="Arial" w:hAnsi="Arial" w:cs="Arial"/>
                <w:sz w:val="22"/>
                <w:szCs w:val="22"/>
              </w:rPr>
              <w:t xml:space="preserve">mployment deprived across South Lanarkshire and reduce the Gap between the 20% most deprived communities and South Lanarkshire </w:t>
            </w:r>
          </w:p>
          <w:p w:rsidR="00CA70D4" w:rsidRPr="006B763F" w:rsidRDefault="00CA70D4" w:rsidP="00CA70D4">
            <w:pPr>
              <w:pStyle w:val="ListBullet"/>
              <w:numPr>
                <w:ilvl w:val="0"/>
                <w:numId w:val="0"/>
              </w:numPr>
              <w:tabs>
                <w:tab w:val="left" w:pos="720"/>
              </w:tabs>
              <w:rPr>
                <w:rFonts w:ascii="Arial" w:hAnsi="Arial" w:cs="Arial"/>
                <w:sz w:val="22"/>
                <w:szCs w:val="22"/>
              </w:rPr>
            </w:pPr>
          </w:p>
          <w:p w:rsidR="00CA70D4" w:rsidRPr="006B763F" w:rsidRDefault="00CA70D4" w:rsidP="00CA70D4">
            <w:pPr>
              <w:pStyle w:val="ListBullet"/>
              <w:numPr>
                <w:ilvl w:val="0"/>
                <w:numId w:val="0"/>
              </w:numPr>
              <w:tabs>
                <w:tab w:val="left" w:pos="720"/>
              </w:tabs>
              <w:rPr>
                <w:rFonts w:ascii="Arial" w:hAnsi="Arial" w:cs="Arial"/>
                <w:b/>
                <w:bCs/>
                <w:sz w:val="22"/>
                <w:szCs w:val="22"/>
              </w:rPr>
            </w:pPr>
            <w:r w:rsidRPr="006B763F">
              <w:rPr>
                <w:rFonts w:ascii="Arial" w:hAnsi="Arial" w:cs="Arial"/>
                <w:b/>
                <w:bCs/>
                <w:sz w:val="22"/>
                <w:szCs w:val="22"/>
              </w:rPr>
              <w:t>Source: The Scottish Index of Multiple Deprivation (SIMD)</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70D4" w:rsidRPr="00CA70D4" w:rsidRDefault="00CA70D4" w:rsidP="00CA70D4">
            <w:pPr>
              <w:shd w:val="clear" w:color="auto" w:fill="FFFFFF"/>
              <w:ind w:firstLine="136"/>
              <w:jc w:val="center"/>
            </w:pPr>
            <w:r w:rsidRPr="00CA70D4">
              <w:t>(SIMD 2016)</w:t>
            </w:r>
          </w:p>
          <w:p w:rsidR="00CA70D4" w:rsidRPr="00CA70D4" w:rsidRDefault="00CA70D4" w:rsidP="00CA70D4">
            <w:pPr>
              <w:shd w:val="clear" w:color="auto" w:fill="FFFFFF"/>
              <w:ind w:firstLine="360"/>
              <w:jc w:val="center"/>
              <w:rPr>
                <w:rFonts w:eastAsiaTheme="minorHAnsi" w:cs="Arial"/>
              </w:rPr>
            </w:pPr>
          </w:p>
          <w:p w:rsidR="00CA70D4" w:rsidRPr="00CA70D4" w:rsidRDefault="00CA70D4" w:rsidP="00CA70D4">
            <w:pPr>
              <w:shd w:val="clear" w:color="auto" w:fill="FFFFFF"/>
              <w:jc w:val="center"/>
              <w:rPr>
                <w:rFonts w:ascii="Calibri" w:hAnsi="Calibri" w:cs="Times New Roman"/>
              </w:rPr>
            </w:pPr>
            <w:r w:rsidRPr="00CA70D4">
              <w:t>South Lanarkshire – 11.9% (23,935)</w:t>
            </w:r>
          </w:p>
          <w:p w:rsidR="00CA70D4" w:rsidRPr="00CA70D4" w:rsidRDefault="00CA70D4" w:rsidP="00CA70D4">
            <w:pPr>
              <w:shd w:val="clear" w:color="auto" w:fill="FFFFFF"/>
              <w:ind w:firstLine="360"/>
              <w:jc w:val="center"/>
            </w:pPr>
          </w:p>
          <w:p w:rsidR="00CA70D4" w:rsidRPr="00CA70D4" w:rsidRDefault="00CA70D4" w:rsidP="00CA70D4">
            <w:pPr>
              <w:shd w:val="clear" w:color="auto" w:fill="FFFFFF"/>
              <w:jc w:val="center"/>
            </w:pPr>
            <w:r w:rsidRPr="00CA70D4">
              <w:t>20% data zones</w:t>
            </w:r>
          </w:p>
          <w:p w:rsidR="00CA70D4" w:rsidRPr="00CA70D4" w:rsidRDefault="00CA70D4" w:rsidP="00CA70D4">
            <w:pPr>
              <w:shd w:val="clear" w:color="auto" w:fill="FFFFFF"/>
              <w:ind w:firstLine="136"/>
              <w:jc w:val="center"/>
            </w:pPr>
            <w:r w:rsidRPr="00CA70D4">
              <w:t>- 23.6% (9,480)</w:t>
            </w:r>
          </w:p>
          <w:p w:rsidR="00CA70D4" w:rsidRPr="00CA70D4" w:rsidRDefault="00CA70D4" w:rsidP="00CA70D4">
            <w:pPr>
              <w:shd w:val="clear" w:color="auto" w:fill="FFFFFF"/>
              <w:ind w:firstLine="360"/>
              <w:jc w:val="center"/>
            </w:pPr>
          </w:p>
          <w:p w:rsidR="00CA70D4" w:rsidRPr="00CA70D4" w:rsidRDefault="00CA70D4" w:rsidP="00CA70D4">
            <w:pPr>
              <w:ind w:firstLine="360"/>
              <w:jc w:val="center"/>
              <w:rPr>
                <w:rFonts w:eastAsiaTheme="minorHAnsi" w:cs="Arial"/>
                <w:u w:val="single"/>
              </w:rPr>
            </w:pPr>
            <w:r w:rsidRPr="00CA70D4">
              <w:t>Gap – 11.7%</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70D4" w:rsidRPr="00CA70D4" w:rsidRDefault="00CA70D4" w:rsidP="00CA70D4">
            <w:pPr>
              <w:shd w:val="clear" w:color="auto" w:fill="FFFFFF"/>
              <w:jc w:val="center"/>
              <w:rPr>
                <w:rFonts w:cs="Arial"/>
              </w:rPr>
            </w:pPr>
            <w:r w:rsidRPr="00CA70D4">
              <w:rPr>
                <w:rFonts w:cs="Arial"/>
              </w:rPr>
              <w:t>(SIMD 2016)</w:t>
            </w:r>
          </w:p>
          <w:p w:rsidR="00CA70D4" w:rsidRDefault="00CA70D4" w:rsidP="00CA70D4">
            <w:pPr>
              <w:shd w:val="clear" w:color="auto" w:fill="FFFFFF"/>
              <w:jc w:val="center"/>
              <w:rPr>
                <w:rFonts w:cs="Arial"/>
              </w:rPr>
            </w:pPr>
          </w:p>
          <w:p w:rsidR="00CA70D4" w:rsidRPr="00CA70D4" w:rsidRDefault="00CA70D4" w:rsidP="00CA70D4">
            <w:pPr>
              <w:shd w:val="clear" w:color="auto" w:fill="FFFFFF"/>
              <w:jc w:val="center"/>
              <w:rPr>
                <w:rFonts w:cs="Arial"/>
              </w:rPr>
            </w:pPr>
          </w:p>
          <w:p w:rsidR="00CA70D4" w:rsidRPr="00CA70D4" w:rsidRDefault="00CA70D4" w:rsidP="00CA70D4">
            <w:pPr>
              <w:shd w:val="clear" w:color="auto" w:fill="FFFFFF"/>
              <w:jc w:val="center"/>
              <w:rPr>
                <w:rFonts w:cs="Arial"/>
              </w:rPr>
            </w:pPr>
            <w:r w:rsidRPr="00CA70D4">
              <w:rPr>
                <w:rFonts w:cs="Arial"/>
              </w:rPr>
              <w:t>South Lanarkshire – 11.9% (23,935)</w:t>
            </w:r>
          </w:p>
          <w:p w:rsidR="00CA70D4" w:rsidRPr="00CA70D4" w:rsidRDefault="00CA70D4" w:rsidP="00CA70D4">
            <w:pPr>
              <w:shd w:val="clear" w:color="auto" w:fill="FFFFFF"/>
              <w:jc w:val="center"/>
              <w:rPr>
                <w:rFonts w:cs="Arial"/>
              </w:rPr>
            </w:pPr>
          </w:p>
          <w:p w:rsidR="00CA70D4" w:rsidRPr="00CA70D4" w:rsidRDefault="00CA70D4" w:rsidP="00CA70D4">
            <w:pPr>
              <w:shd w:val="clear" w:color="auto" w:fill="FFFFFF"/>
              <w:jc w:val="center"/>
              <w:rPr>
                <w:rFonts w:cs="Arial"/>
              </w:rPr>
            </w:pPr>
            <w:r w:rsidRPr="00CA70D4">
              <w:rPr>
                <w:rFonts w:cs="Arial"/>
              </w:rPr>
              <w:t>20% data zones</w:t>
            </w:r>
          </w:p>
          <w:p w:rsidR="00CA70D4" w:rsidRPr="00CA70D4" w:rsidRDefault="00CA70D4" w:rsidP="00CA70D4">
            <w:pPr>
              <w:shd w:val="clear" w:color="auto" w:fill="FFFFFF"/>
              <w:jc w:val="center"/>
              <w:rPr>
                <w:rFonts w:cs="Arial"/>
              </w:rPr>
            </w:pPr>
            <w:r w:rsidRPr="00CA70D4">
              <w:rPr>
                <w:rFonts w:cs="Arial"/>
              </w:rPr>
              <w:t>- 23.6% (9,480)</w:t>
            </w:r>
          </w:p>
          <w:p w:rsidR="00CA70D4" w:rsidRPr="00CA70D4" w:rsidRDefault="00CA70D4" w:rsidP="00CA70D4">
            <w:pPr>
              <w:shd w:val="clear" w:color="auto" w:fill="FFFFFF"/>
              <w:jc w:val="center"/>
              <w:rPr>
                <w:rFonts w:cs="Arial"/>
              </w:rPr>
            </w:pPr>
          </w:p>
          <w:p w:rsidR="00CA70D4" w:rsidRPr="00CA70D4" w:rsidRDefault="00CA70D4" w:rsidP="00CA70D4">
            <w:pPr>
              <w:shd w:val="clear" w:color="auto" w:fill="FFFFFF"/>
              <w:jc w:val="center"/>
              <w:rPr>
                <w:rFonts w:cs="Arial"/>
                <w:u w:val="single"/>
              </w:rPr>
            </w:pPr>
            <w:r w:rsidRPr="00CA70D4">
              <w:rPr>
                <w:rFonts w:cs="Arial"/>
              </w:rPr>
              <w:t>Gap – 11.7%</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70D4" w:rsidRDefault="00CA70D4" w:rsidP="00CA70D4">
            <w:pPr>
              <w:shd w:val="clear" w:color="auto" w:fill="FFFFFF"/>
              <w:ind w:firstLine="360"/>
              <w:rPr>
                <w:rFonts w:eastAsiaTheme="minorHAnsi" w:cs="Arial"/>
              </w:rPr>
            </w:pPr>
            <w:r>
              <w:t xml:space="preserve">     N/A</w:t>
            </w:r>
          </w:p>
          <w:p w:rsidR="00CA70D4" w:rsidRDefault="00CA70D4" w:rsidP="00CA70D4">
            <w:pPr>
              <w:pStyle w:val="ListBullet"/>
              <w:numPr>
                <w:ilvl w:val="0"/>
                <w:numId w:val="0"/>
              </w:numPr>
              <w:shd w:val="clear" w:color="auto" w:fill="FFFFFF"/>
              <w:tabs>
                <w:tab w:val="left" w:pos="720"/>
              </w:tabs>
              <w:jc w:val="center"/>
              <w:rPr>
                <w:rFonts w:ascii="Arial" w:hAnsi="Arial" w:cs="Arial"/>
                <w:sz w:val="22"/>
                <w:szCs w:val="22"/>
              </w:rPr>
            </w:pPr>
          </w:p>
          <w:p w:rsidR="00CA70D4" w:rsidRDefault="00CA70D4" w:rsidP="00CA70D4">
            <w:pPr>
              <w:shd w:val="clear" w:color="auto" w:fill="FFFFFF"/>
            </w:pPr>
            <w:r>
              <w:t xml:space="preserve">      SIMD not</w:t>
            </w:r>
          </w:p>
          <w:p w:rsidR="00CA70D4" w:rsidRDefault="00CA70D4" w:rsidP="00CA70D4">
            <w:pPr>
              <w:shd w:val="clear" w:color="auto" w:fill="FFFFFF"/>
            </w:pPr>
            <w:r>
              <w:t xml:space="preserve">   refreshed until </w:t>
            </w:r>
          </w:p>
          <w:p w:rsidR="00CA70D4" w:rsidRDefault="00CA70D4" w:rsidP="00CA70D4">
            <w:pPr>
              <w:shd w:val="clear" w:color="auto" w:fill="FFFFFF"/>
              <w:rPr>
                <w:rFonts w:eastAsiaTheme="minorHAnsi" w:cs="Arial"/>
              </w:rPr>
            </w:pPr>
            <w:r>
              <w:t xml:space="preserve">       2019/20</w:t>
            </w:r>
          </w:p>
        </w:tc>
        <w:tc>
          <w:tcPr>
            <w:tcW w:w="2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70D4" w:rsidRPr="006B763F" w:rsidRDefault="00CA70D4" w:rsidP="00CA70D4">
            <w:pPr>
              <w:shd w:val="clear" w:color="auto" w:fill="FFFFFF"/>
              <w:ind w:hanging="14"/>
              <w:jc w:val="center"/>
              <w:rPr>
                <w:rFonts w:eastAsiaTheme="minorHAnsi" w:cs="Arial"/>
              </w:rPr>
            </w:pPr>
            <w:r w:rsidRPr="006B763F">
              <w:t>R</w:t>
            </w:r>
            <w:r>
              <w:t>educe the G</w:t>
            </w:r>
            <w:r w:rsidRPr="006B763F">
              <w:t>ap between South Lanarkshire levels and those living in the worst 20% data zones</w:t>
            </w:r>
          </w:p>
        </w:tc>
        <w:tc>
          <w:tcPr>
            <w:tcW w:w="2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70D4" w:rsidRPr="006B763F" w:rsidRDefault="00CA70D4" w:rsidP="00CA70D4">
            <w:pPr>
              <w:shd w:val="clear" w:color="auto" w:fill="FFFFFF"/>
              <w:jc w:val="center"/>
              <w:rPr>
                <w:rFonts w:eastAsiaTheme="minorHAnsi" w:cs="Arial"/>
              </w:rPr>
            </w:pPr>
            <w:r>
              <w:t>Reduce the G</w:t>
            </w:r>
            <w:r w:rsidRPr="006B763F">
              <w:t>ap between South Lanarkshire levels and those living in the worst 20% data zones</w:t>
            </w:r>
          </w:p>
        </w:tc>
      </w:tr>
    </w:tbl>
    <w:p w:rsidR="0087260B" w:rsidRDefault="0087260B">
      <w:r>
        <w:br w:type="page"/>
      </w:r>
    </w:p>
    <w:tbl>
      <w:tblPr>
        <w:tblW w:w="14425" w:type="dxa"/>
        <w:tblCellMar>
          <w:left w:w="0" w:type="dxa"/>
          <w:right w:w="0" w:type="dxa"/>
        </w:tblCellMar>
        <w:tblLook w:val="04A0" w:firstRow="1" w:lastRow="0" w:firstColumn="1" w:lastColumn="0" w:noHBand="0" w:noVBand="1"/>
      </w:tblPr>
      <w:tblGrid>
        <w:gridCol w:w="3550"/>
        <w:gridCol w:w="2087"/>
        <w:gridCol w:w="2268"/>
        <w:gridCol w:w="1890"/>
        <w:gridCol w:w="2307"/>
        <w:gridCol w:w="2323"/>
      </w:tblGrid>
      <w:tr w:rsidR="00A95179" w:rsidTr="00521C50">
        <w:trPr>
          <w:trHeight w:val="525"/>
        </w:trPr>
        <w:tc>
          <w:tcPr>
            <w:tcW w:w="35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95179" w:rsidRDefault="00A95179">
            <w:pPr>
              <w:pStyle w:val="ListBullet"/>
              <w:numPr>
                <w:ilvl w:val="0"/>
                <w:numId w:val="0"/>
              </w:numPr>
              <w:tabs>
                <w:tab w:val="left" w:pos="720"/>
              </w:tabs>
              <w:rPr>
                <w:rFonts w:ascii="Arial" w:eastAsiaTheme="minorHAnsi" w:hAnsi="Arial" w:cs="Arial"/>
                <w:sz w:val="22"/>
                <w:szCs w:val="22"/>
              </w:rPr>
            </w:pPr>
            <w:r>
              <w:rPr>
                <w:rFonts w:ascii="Arial" w:hAnsi="Arial" w:cs="Arial"/>
                <w:b/>
                <w:bCs/>
                <w:sz w:val="22"/>
                <w:szCs w:val="22"/>
              </w:rPr>
              <w:t>Reduce</w:t>
            </w:r>
            <w:r>
              <w:rPr>
                <w:rFonts w:ascii="Arial" w:hAnsi="Arial" w:cs="Arial"/>
                <w:sz w:val="22"/>
                <w:szCs w:val="22"/>
              </w:rPr>
              <w:t xml:space="preserve"> the levels of income deprivation and the Gap between the South Lanarkshire rate and the Scottish Average</w:t>
            </w:r>
          </w:p>
          <w:p w:rsidR="00A95179" w:rsidRDefault="00A95179">
            <w:pPr>
              <w:pStyle w:val="ListBullet"/>
              <w:numPr>
                <w:ilvl w:val="0"/>
                <w:numId w:val="0"/>
              </w:numPr>
              <w:tabs>
                <w:tab w:val="left" w:pos="720"/>
              </w:tabs>
              <w:rPr>
                <w:rFonts w:ascii="Arial" w:hAnsi="Arial" w:cs="Arial"/>
                <w:sz w:val="22"/>
                <w:szCs w:val="22"/>
              </w:rPr>
            </w:pPr>
          </w:p>
          <w:p w:rsidR="00A95179" w:rsidRDefault="00A95179">
            <w:pPr>
              <w:pStyle w:val="ListBullet"/>
              <w:numPr>
                <w:ilvl w:val="0"/>
                <w:numId w:val="0"/>
              </w:numPr>
              <w:tabs>
                <w:tab w:val="left" w:pos="720"/>
              </w:tabs>
              <w:rPr>
                <w:rFonts w:ascii="Arial" w:hAnsi="Arial" w:cs="Arial"/>
                <w:b/>
                <w:bCs/>
                <w:sz w:val="22"/>
                <w:szCs w:val="22"/>
              </w:rPr>
            </w:pPr>
            <w:r>
              <w:rPr>
                <w:rFonts w:ascii="Arial" w:hAnsi="Arial" w:cs="Arial"/>
                <w:b/>
                <w:bCs/>
                <w:sz w:val="22"/>
                <w:szCs w:val="22"/>
              </w:rPr>
              <w:t>Source: The Scottish Index of Multiple Deprivation (SIMD)</w:t>
            </w:r>
          </w:p>
        </w:tc>
        <w:tc>
          <w:tcPr>
            <w:tcW w:w="2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95179" w:rsidRPr="00CA70D4" w:rsidRDefault="00A95179" w:rsidP="00944F80">
            <w:pPr>
              <w:shd w:val="clear" w:color="auto" w:fill="FFFFFF"/>
              <w:ind w:firstLine="136"/>
              <w:jc w:val="center"/>
            </w:pPr>
            <w:r w:rsidRPr="00CA70D4">
              <w:t>(SIMD 2016)</w:t>
            </w:r>
          </w:p>
          <w:p w:rsidR="00A95179" w:rsidRPr="00CA70D4" w:rsidRDefault="00A95179" w:rsidP="00944F80">
            <w:pPr>
              <w:shd w:val="clear" w:color="auto" w:fill="FFFFFF"/>
              <w:ind w:firstLine="136"/>
              <w:jc w:val="center"/>
              <w:rPr>
                <w:rFonts w:eastAsiaTheme="minorHAnsi" w:cs="Arial"/>
              </w:rPr>
            </w:pPr>
          </w:p>
          <w:p w:rsidR="00A95179" w:rsidRDefault="00A95179" w:rsidP="00944F80">
            <w:pPr>
              <w:shd w:val="clear" w:color="auto" w:fill="FFFFFF"/>
              <w:jc w:val="center"/>
            </w:pPr>
            <w:r w:rsidRPr="00CA70D4">
              <w:t>South Lanarkshire – 13.2% of the population</w:t>
            </w:r>
          </w:p>
          <w:p w:rsidR="00912512" w:rsidRPr="00CA70D4" w:rsidRDefault="00912512" w:rsidP="00944F80">
            <w:pPr>
              <w:shd w:val="clear" w:color="auto" w:fill="FFFFFF"/>
              <w:jc w:val="center"/>
              <w:rPr>
                <w:rFonts w:ascii="Calibri" w:hAnsi="Calibri" w:cs="Times New Roman"/>
              </w:rPr>
            </w:pPr>
            <w:r>
              <w:t>(41,670)</w:t>
            </w:r>
          </w:p>
          <w:p w:rsidR="00A95179" w:rsidRPr="00CA70D4" w:rsidRDefault="00A95179" w:rsidP="00944F80">
            <w:pPr>
              <w:shd w:val="clear" w:color="auto" w:fill="FFFFFF"/>
              <w:ind w:firstLine="360"/>
              <w:jc w:val="center"/>
            </w:pPr>
          </w:p>
          <w:p w:rsidR="00A95179" w:rsidRPr="00CA70D4" w:rsidRDefault="00A95179" w:rsidP="00944F80">
            <w:pPr>
              <w:shd w:val="clear" w:color="auto" w:fill="FFFFFF"/>
              <w:ind w:firstLine="136"/>
              <w:jc w:val="center"/>
            </w:pPr>
            <w:r w:rsidRPr="00CA70D4">
              <w:t>Scotland – 12.3%</w:t>
            </w:r>
          </w:p>
          <w:p w:rsidR="00A95179" w:rsidRPr="00CA70D4" w:rsidRDefault="00A95179" w:rsidP="00944F80">
            <w:pPr>
              <w:ind w:firstLine="360"/>
              <w:jc w:val="center"/>
            </w:pPr>
          </w:p>
          <w:p w:rsidR="00A95179" w:rsidRPr="00CA70D4" w:rsidRDefault="00A95179" w:rsidP="00944F80">
            <w:pPr>
              <w:ind w:firstLine="360"/>
              <w:jc w:val="center"/>
              <w:rPr>
                <w:rFonts w:eastAsiaTheme="minorHAnsi" w:cs="Arial"/>
                <w:u w:val="single"/>
              </w:rPr>
            </w:pPr>
            <w:r w:rsidRPr="00CA70D4">
              <w:t>Gap – 0.9%</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95179" w:rsidRPr="00CA70D4" w:rsidRDefault="00A95179" w:rsidP="00944F80">
            <w:pPr>
              <w:shd w:val="clear" w:color="auto" w:fill="FFFFFF"/>
              <w:ind w:firstLine="54"/>
              <w:jc w:val="center"/>
            </w:pPr>
            <w:r w:rsidRPr="00CA70D4">
              <w:t>(SIMD 2016)</w:t>
            </w:r>
          </w:p>
          <w:p w:rsidR="00A95179" w:rsidRPr="00CA70D4" w:rsidRDefault="00A95179" w:rsidP="00944F80">
            <w:pPr>
              <w:shd w:val="clear" w:color="auto" w:fill="FFFFFF"/>
              <w:ind w:firstLine="54"/>
              <w:jc w:val="center"/>
              <w:rPr>
                <w:rFonts w:eastAsiaTheme="minorHAnsi" w:cs="Arial"/>
              </w:rPr>
            </w:pPr>
          </w:p>
          <w:p w:rsidR="00A95179" w:rsidRPr="00CA70D4" w:rsidRDefault="00A95179" w:rsidP="00944F80">
            <w:pPr>
              <w:shd w:val="clear" w:color="auto" w:fill="FFFFFF"/>
              <w:ind w:firstLine="54"/>
              <w:jc w:val="center"/>
              <w:rPr>
                <w:rFonts w:ascii="Calibri" w:hAnsi="Calibri" w:cs="Times New Roman"/>
              </w:rPr>
            </w:pPr>
            <w:r w:rsidRPr="00CA70D4">
              <w:t>South Lanarkshire – 13.2% of the population</w:t>
            </w:r>
          </w:p>
          <w:p w:rsidR="00912512" w:rsidRPr="00CA70D4" w:rsidRDefault="00912512" w:rsidP="00912512">
            <w:pPr>
              <w:shd w:val="clear" w:color="auto" w:fill="FFFFFF"/>
              <w:jc w:val="center"/>
              <w:rPr>
                <w:rFonts w:ascii="Calibri" w:hAnsi="Calibri" w:cs="Times New Roman"/>
              </w:rPr>
            </w:pPr>
            <w:r>
              <w:t>(41,670)</w:t>
            </w:r>
          </w:p>
          <w:p w:rsidR="00A95179" w:rsidRPr="00CA70D4" w:rsidRDefault="00A95179" w:rsidP="00944F80">
            <w:pPr>
              <w:shd w:val="clear" w:color="auto" w:fill="FFFFFF"/>
              <w:ind w:firstLine="360"/>
              <w:jc w:val="center"/>
            </w:pPr>
          </w:p>
          <w:p w:rsidR="00A95179" w:rsidRPr="00CA70D4" w:rsidRDefault="00A95179" w:rsidP="00944F80">
            <w:pPr>
              <w:shd w:val="clear" w:color="auto" w:fill="FFFFFF"/>
              <w:ind w:firstLine="196"/>
              <w:jc w:val="center"/>
            </w:pPr>
            <w:r w:rsidRPr="00CA70D4">
              <w:t>Scotland -12.3%</w:t>
            </w:r>
          </w:p>
          <w:p w:rsidR="00A95179" w:rsidRPr="00CA70D4" w:rsidRDefault="00A95179" w:rsidP="00944F80">
            <w:pPr>
              <w:shd w:val="clear" w:color="auto" w:fill="FFFFFF"/>
              <w:ind w:firstLine="360"/>
              <w:jc w:val="center"/>
            </w:pPr>
          </w:p>
          <w:p w:rsidR="00A95179" w:rsidRPr="00CA70D4" w:rsidRDefault="00A95179" w:rsidP="00944F80">
            <w:pPr>
              <w:ind w:firstLine="360"/>
              <w:jc w:val="center"/>
              <w:rPr>
                <w:rFonts w:eastAsiaTheme="minorHAnsi" w:cs="Arial"/>
                <w:u w:val="single"/>
              </w:rPr>
            </w:pPr>
            <w:r w:rsidRPr="00CA70D4">
              <w:t>Gap – 0.9%</w:t>
            </w:r>
          </w:p>
        </w:tc>
        <w:tc>
          <w:tcPr>
            <w:tcW w:w="18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95179" w:rsidRDefault="00912512" w:rsidP="00CA70D4">
            <w:pPr>
              <w:shd w:val="clear" w:color="auto" w:fill="FFFFFF"/>
              <w:ind w:firstLine="360"/>
              <w:rPr>
                <w:rFonts w:eastAsiaTheme="minorHAnsi" w:cs="Arial"/>
              </w:rPr>
            </w:pPr>
            <w:r>
              <w:t xml:space="preserve"> Not set</w:t>
            </w:r>
          </w:p>
          <w:p w:rsidR="00A95179" w:rsidRDefault="00A95179">
            <w:pPr>
              <w:pStyle w:val="ListBullet"/>
              <w:numPr>
                <w:ilvl w:val="0"/>
                <w:numId w:val="0"/>
              </w:numPr>
              <w:shd w:val="clear" w:color="auto" w:fill="FFFFFF"/>
              <w:tabs>
                <w:tab w:val="left" w:pos="720"/>
              </w:tabs>
              <w:jc w:val="center"/>
              <w:rPr>
                <w:rFonts w:ascii="Arial" w:hAnsi="Arial" w:cs="Arial"/>
                <w:sz w:val="22"/>
                <w:szCs w:val="22"/>
              </w:rPr>
            </w:pPr>
          </w:p>
          <w:p w:rsidR="00CA70D4" w:rsidRDefault="00CA70D4" w:rsidP="00CA70D4">
            <w:pPr>
              <w:shd w:val="clear" w:color="auto" w:fill="FFFFFF"/>
            </w:pPr>
            <w:r>
              <w:t xml:space="preserve">      </w:t>
            </w:r>
            <w:r w:rsidR="00A95179">
              <w:t>SIMD not</w:t>
            </w:r>
          </w:p>
          <w:p w:rsidR="00CA70D4" w:rsidRDefault="00CA70D4" w:rsidP="00CA70D4">
            <w:pPr>
              <w:shd w:val="clear" w:color="auto" w:fill="FFFFFF"/>
            </w:pPr>
            <w:r>
              <w:t xml:space="preserve">  </w:t>
            </w:r>
            <w:r w:rsidR="00A95179">
              <w:t xml:space="preserve"> refreshed until </w:t>
            </w:r>
          </w:p>
          <w:p w:rsidR="00A95179" w:rsidRDefault="00CA70D4" w:rsidP="00CA70D4">
            <w:pPr>
              <w:shd w:val="clear" w:color="auto" w:fill="FFFFFF"/>
              <w:rPr>
                <w:rFonts w:eastAsiaTheme="minorHAnsi" w:cs="Arial"/>
              </w:rPr>
            </w:pPr>
            <w:r>
              <w:t xml:space="preserve">       </w:t>
            </w:r>
            <w:r w:rsidR="00A95179">
              <w:t>2019/20</w:t>
            </w:r>
          </w:p>
        </w:tc>
        <w:tc>
          <w:tcPr>
            <w:tcW w:w="230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95179" w:rsidRDefault="00A95179" w:rsidP="006B763F">
            <w:pPr>
              <w:shd w:val="clear" w:color="auto" w:fill="FFFFFF"/>
              <w:ind w:hanging="14"/>
              <w:jc w:val="center"/>
              <w:rPr>
                <w:rFonts w:eastAsiaTheme="minorHAnsi" w:cs="Arial"/>
              </w:rPr>
            </w:pPr>
            <w:r>
              <w:t>Reduce the Gap between South Lanarkshire levels and the</w:t>
            </w:r>
            <w:r w:rsidR="00912512">
              <w:t xml:space="preserve"> Scottish Average to less than 0.5</w:t>
            </w:r>
            <w:r>
              <w:t>%</w:t>
            </w:r>
            <w:r w:rsidR="00912512">
              <w:t xml:space="preserve"> of a percentage point</w:t>
            </w:r>
          </w:p>
          <w:p w:rsidR="00A95179" w:rsidRDefault="00A95179" w:rsidP="006B763F">
            <w:pPr>
              <w:shd w:val="clear" w:color="auto" w:fill="FFFFFF"/>
              <w:ind w:hanging="14"/>
              <w:jc w:val="center"/>
              <w:rPr>
                <w:rFonts w:eastAsiaTheme="minorHAnsi" w:cs="Arial"/>
              </w:rPr>
            </w:pP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95179" w:rsidRDefault="00A95179" w:rsidP="006B763F">
            <w:pPr>
              <w:shd w:val="clear" w:color="auto" w:fill="FFFFFF"/>
              <w:jc w:val="center"/>
              <w:rPr>
                <w:rFonts w:eastAsiaTheme="minorHAnsi" w:cs="Arial"/>
              </w:rPr>
            </w:pPr>
            <w:r>
              <w:t>Reduce the rate of deprivation in South Lanarkshire to</w:t>
            </w:r>
            <w:r w:rsidR="00912512">
              <w:t xml:space="preserve"> at least</w:t>
            </w:r>
            <w:r>
              <w:t xml:space="preserve"> the Scottish Average</w:t>
            </w:r>
          </w:p>
        </w:tc>
      </w:tr>
      <w:tr w:rsidR="00CA70D4" w:rsidTr="00521C50">
        <w:trPr>
          <w:trHeight w:val="525"/>
        </w:trPr>
        <w:tc>
          <w:tcPr>
            <w:tcW w:w="3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0D4" w:rsidRPr="006B763F" w:rsidRDefault="00CA70D4" w:rsidP="00CA70D4">
            <w:pPr>
              <w:pStyle w:val="ListBullet"/>
              <w:numPr>
                <w:ilvl w:val="0"/>
                <w:numId w:val="0"/>
              </w:numPr>
              <w:tabs>
                <w:tab w:val="left" w:pos="720"/>
              </w:tabs>
              <w:rPr>
                <w:rFonts w:ascii="Arial" w:eastAsiaTheme="minorHAnsi" w:hAnsi="Arial" w:cs="Arial"/>
                <w:sz w:val="22"/>
                <w:szCs w:val="22"/>
              </w:rPr>
            </w:pPr>
            <w:r w:rsidRPr="006B763F">
              <w:rPr>
                <w:rFonts w:ascii="Arial" w:hAnsi="Arial" w:cs="Arial"/>
                <w:b/>
                <w:bCs/>
                <w:sz w:val="22"/>
                <w:szCs w:val="22"/>
              </w:rPr>
              <w:t>Reduce</w:t>
            </w:r>
            <w:r w:rsidRPr="006B763F">
              <w:rPr>
                <w:rFonts w:ascii="Arial" w:hAnsi="Arial" w:cs="Arial"/>
                <w:sz w:val="22"/>
                <w:szCs w:val="22"/>
              </w:rPr>
              <w:t xml:space="preserve"> the levels of income deprivation and the Gap between the 20% most deprived communities and South Lanarkshire</w:t>
            </w:r>
          </w:p>
          <w:p w:rsidR="00CA70D4" w:rsidRPr="006B763F" w:rsidRDefault="00CA70D4" w:rsidP="00CA70D4">
            <w:pPr>
              <w:pStyle w:val="ListBullet"/>
              <w:numPr>
                <w:ilvl w:val="0"/>
                <w:numId w:val="0"/>
              </w:numPr>
              <w:tabs>
                <w:tab w:val="left" w:pos="720"/>
              </w:tabs>
              <w:rPr>
                <w:rFonts w:ascii="Arial" w:hAnsi="Arial" w:cs="Arial"/>
                <w:sz w:val="22"/>
                <w:szCs w:val="22"/>
              </w:rPr>
            </w:pPr>
          </w:p>
          <w:p w:rsidR="00CA70D4" w:rsidRPr="006B763F" w:rsidRDefault="00CA70D4" w:rsidP="00CA70D4">
            <w:pPr>
              <w:pStyle w:val="ListBullet"/>
              <w:numPr>
                <w:ilvl w:val="0"/>
                <w:numId w:val="0"/>
              </w:numPr>
              <w:tabs>
                <w:tab w:val="left" w:pos="720"/>
              </w:tabs>
              <w:rPr>
                <w:rFonts w:ascii="Arial" w:hAnsi="Arial" w:cs="Arial"/>
                <w:b/>
                <w:bCs/>
                <w:sz w:val="22"/>
                <w:szCs w:val="22"/>
              </w:rPr>
            </w:pPr>
            <w:r w:rsidRPr="006B763F">
              <w:rPr>
                <w:rFonts w:ascii="Arial" w:hAnsi="Arial" w:cs="Arial"/>
                <w:b/>
                <w:bCs/>
                <w:sz w:val="22"/>
                <w:szCs w:val="22"/>
              </w:rPr>
              <w:t>Source: The Scottish Index of Multiple Deprivation (SIMD)</w:t>
            </w:r>
          </w:p>
        </w:tc>
        <w:tc>
          <w:tcPr>
            <w:tcW w:w="2087" w:type="dxa"/>
            <w:tcBorders>
              <w:top w:val="nil"/>
              <w:left w:val="nil"/>
              <w:bottom w:val="single" w:sz="8" w:space="0" w:color="auto"/>
              <w:right w:val="single" w:sz="8" w:space="0" w:color="auto"/>
            </w:tcBorders>
            <w:tcMar>
              <w:top w:w="0" w:type="dxa"/>
              <w:left w:w="108" w:type="dxa"/>
              <w:bottom w:w="0" w:type="dxa"/>
              <w:right w:w="108" w:type="dxa"/>
            </w:tcMar>
          </w:tcPr>
          <w:p w:rsidR="00CA70D4" w:rsidRPr="00CA70D4" w:rsidRDefault="00CA70D4" w:rsidP="00CA70D4">
            <w:pPr>
              <w:shd w:val="clear" w:color="auto" w:fill="FFFFFF"/>
              <w:ind w:firstLine="136"/>
              <w:jc w:val="center"/>
            </w:pPr>
            <w:r w:rsidRPr="00CA70D4">
              <w:t>(SIMD 2016)</w:t>
            </w:r>
          </w:p>
          <w:p w:rsidR="00CA70D4" w:rsidRPr="00CA70D4" w:rsidRDefault="00CA70D4" w:rsidP="00CA70D4">
            <w:pPr>
              <w:shd w:val="clear" w:color="auto" w:fill="FFFFFF"/>
              <w:ind w:firstLine="136"/>
              <w:jc w:val="center"/>
              <w:rPr>
                <w:rFonts w:eastAsiaTheme="minorHAnsi" w:cs="Arial"/>
              </w:rPr>
            </w:pPr>
          </w:p>
          <w:p w:rsidR="00CA70D4" w:rsidRPr="00CA70D4" w:rsidRDefault="00CA70D4" w:rsidP="00CA70D4">
            <w:pPr>
              <w:shd w:val="clear" w:color="auto" w:fill="FFFFFF"/>
              <w:jc w:val="center"/>
              <w:rPr>
                <w:rFonts w:ascii="Calibri" w:hAnsi="Calibri" w:cs="Times New Roman"/>
              </w:rPr>
            </w:pPr>
            <w:r w:rsidRPr="00CA70D4">
              <w:t>South Lanarkshire – 13.2% of the population</w:t>
            </w:r>
          </w:p>
          <w:p w:rsidR="00CA70D4" w:rsidRPr="00CA70D4" w:rsidRDefault="00CA70D4" w:rsidP="00CA70D4">
            <w:pPr>
              <w:shd w:val="clear" w:color="auto" w:fill="FFFFFF"/>
              <w:ind w:firstLine="360"/>
            </w:pPr>
            <w:r w:rsidRPr="00CA70D4">
              <w:t xml:space="preserve">   (41,670)</w:t>
            </w:r>
          </w:p>
          <w:p w:rsidR="00CA70D4" w:rsidRPr="00CA70D4" w:rsidRDefault="00CA70D4" w:rsidP="00CA70D4">
            <w:pPr>
              <w:shd w:val="clear" w:color="auto" w:fill="FFFFFF"/>
              <w:ind w:firstLine="360"/>
              <w:jc w:val="center"/>
            </w:pPr>
          </w:p>
          <w:p w:rsidR="00CA70D4" w:rsidRPr="00CA70D4" w:rsidRDefault="00CA70D4" w:rsidP="00CA70D4">
            <w:pPr>
              <w:shd w:val="clear" w:color="auto" w:fill="FFFFFF"/>
              <w:jc w:val="center"/>
            </w:pPr>
            <w:r w:rsidRPr="00CA70D4">
              <w:t>20% data zones – 27% (16,965)</w:t>
            </w:r>
          </w:p>
          <w:p w:rsidR="00CA70D4" w:rsidRPr="00CA70D4" w:rsidRDefault="00CA70D4" w:rsidP="00CA70D4">
            <w:pPr>
              <w:shd w:val="clear" w:color="auto" w:fill="FFFFFF"/>
              <w:ind w:firstLine="360"/>
              <w:jc w:val="center"/>
            </w:pPr>
          </w:p>
          <w:p w:rsidR="00CA70D4" w:rsidRPr="00CA70D4" w:rsidRDefault="00CA70D4" w:rsidP="00CA70D4">
            <w:pPr>
              <w:ind w:firstLine="360"/>
              <w:jc w:val="center"/>
              <w:rPr>
                <w:rFonts w:eastAsiaTheme="minorHAnsi" w:cs="Arial"/>
                <w:u w:val="single"/>
              </w:rPr>
            </w:pPr>
            <w:r w:rsidRPr="00CA70D4">
              <w:t>Gap – 13.8%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CA70D4" w:rsidRPr="00CA70D4" w:rsidRDefault="00CA70D4" w:rsidP="00CA70D4">
            <w:pPr>
              <w:shd w:val="clear" w:color="auto" w:fill="FFFFFF"/>
              <w:ind w:firstLine="54"/>
              <w:jc w:val="center"/>
            </w:pPr>
            <w:r w:rsidRPr="00CA70D4">
              <w:t>(SIMD 2016)</w:t>
            </w:r>
          </w:p>
          <w:p w:rsidR="00CA70D4" w:rsidRPr="00CA70D4" w:rsidRDefault="00CA70D4" w:rsidP="00CA70D4">
            <w:pPr>
              <w:shd w:val="clear" w:color="auto" w:fill="FFFFFF"/>
              <w:ind w:firstLine="54"/>
              <w:jc w:val="center"/>
              <w:rPr>
                <w:rFonts w:eastAsiaTheme="minorHAnsi" w:cs="Arial"/>
              </w:rPr>
            </w:pPr>
          </w:p>
          <w:p w:rsidR="00CA70D4" w:rsidRPr="00CA70D4" w:rsidRDefault="00CA70D4" w:rsidP="00CA70D4">
            <w:pPr>
              <w:shd w:val="clear" w:color="auto" w:fill="FFFFFF"/>
              <w:ind w:firstLine="54"/>
              <w:jc w:val="center"/>
              <w:rPr>
                <w:rFonts w:ascii="Calibri" w:hAnsi="Calibri" w:cs="Times New Roman"/>
              </w:rPr>
            </w:pPr>
            <w:r w:rsidRPr="00CA70D4">
              <w:t>South Lanarkshire – 13.2% of the population (41,670)</w:t>
            </w:r>
          </w:p>
          <w:p w:rsidR="00CA70D4" w:rsidRPr="00CA70D4" w:rsidRDefault="00CA70D4" w:rsidP="00CA70D4">
            <w:pPr>
              <w:shd w:val="clear" w:color="auto" w:fill="FFFFFF"/>
              <w:ind w:firstLine="360"/>
              <w:jc w:val="center"/>
            </w:pPr>
          </w:p>
          <w:p w:rsidR="00CA70D4" w:rsidRPr="00CA70D4" w:rsidRDefault="00CA70D4" w:rsidP="00CA70D4">
            <w:pPr>
              <w:shd w:val="clear" w:color="auto" w:fill="FFFFFF"/>
              <w:ind w:firstLine="360"/>
              <w:jc w:val="center"/>
            </w:pPr>
          </w:p>
          <w:p w:rsidR="00CA70D4" w:rsidRPr="00CA70D4" w:rsidRDefault="00CA70D4" w:rsidP="00CA70D4">
            <w:pPr>
              <w:shd w:val="clear" w:color="auto" w:fill="FFFFFF"/>
              <w:jc w:val="center"/>
            </w:pPr>
            <w:r w:rsidRPr="00CA70D4">
              <w:t>20% data zones - 27% (16,965)</w:t>
            </w:r>
          </w:p>
          <w:p w:rsidR="00CA70D4" w:rsidRPr="00CA70D4" w:rsidRDefault="00CA70D4" w:rsidP="00CA70D4">
            <w:pPr>
              <w:shd w:val="clear" w:color="auto" w:fill="FFFFFF"/>
              <w:ind w:firstLine="360"/>
              <w:jc w:val="center"/>
            </w:pPr>
          </w:p>
          <w:p w:rsidR="00CA70D4" w:rsidRPr="00CA70D4" w:rsidRDefault="00CA70D4" w:rsidP="00CA70D4">
            <w:pPr>
              <w:ind w:firstLine="360"/>
              <w:jc w:val="center"/>
              <w:rPr>
                <w:rFonts w:eastAsiaTheme="minorHAnsi" w:cs="Arial"/>
                <w:u w:val="single"/>
              </w:rPr>
            </w:pPr>
            <w:r w:rsidRPr="00CA70D4">
              <w:t>Gap – 13.8%</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A70D4" w:rsidRDefault="00912512" w:rsidP="00CA70D4">
            <w:pPr>
              <w:shd w:val="clear" w:color="auto" w:fill="FFFFFF"/>
              <w:ind w:firstLine="360"/>
              <w:rPr>
                <w:rFonts w:eastAsiaTheme="minorHAnsi" w:cs="Arial"/>
              </w:rPr>
            </w:pPr>
            <w:r>
              <w:t xml:space="preserve"> Not set</w:t>
            </w:r>
          </w:p>
          <w:p w:rsidR="00CA70D4" w:rsidRDefault="00CA70D4" w:rsidP="00CA70D4">
            <w:pPr>
              <w:pStyle w:val="ListBullet"/>
              <w:numPr>
                <w:ilvl w:val="0"/>
                <w:numId w:val="0"/>
              </w:numPr>
              <w:shd w:val="clear" w:color="auto" w:fill="FFFFFF"/>
              <w:tabs>
                <w:tab w:val="left" w:pos="720"/>
              </w:tabs>
              <w:jc w:val="center"/>
              <w:rPr>
                <w:rFonts w:ascii="Arial" w:hAnsi="Arial" w:cs="Arial"/>
                <w:sz w:val="22"/>
                <w:szCs w:val="22"/>
              </w:rPr>
            </w:pPr>
          </w:p>
          <w:p w:rsidR="00CA70D4" w:rsidRDefault="00CA70D4" w:rsidP="00CA70D4">
            <w:pPr>
              <w:shd w:val="clear" w:color="auto" w:fill="FFFFFF"/>
            </w:pPr>
            <w:r>
              <w:t xml:space="preserve">      SIMD not</w:t>
            </w:r>
          </w:p>
          <w:p w:rsidR="00CA70D4" w:rsidRDefault="00CA70D4" w:rsidP="00CA70D4">
            <w:pPr>
              <w:shd w:val="clear" w:color="auto" w:fill="FFFFFF"/>
            </w:pPr>
            <w:r>
              <w:t xml:space="preserve">   refreshed until </w:t>
            </w:r>
          </w:p>
          <w:p w:rsidR="00CA70D4" w:rsidRDefault="00CA70D4" w:rsidP="00CA70D4">
            <w:pPr>
              <w:shd w:val="clear" w:color="auto" w:fill="FFFFFF"/>
              <w:rPr>
                <w:rFonts w:eastAsiaTheme="minorHAnsi" w:cs="Arial"/>
              </w:rPr>
            </w:pPr>
            <w:r>
              <w:t xml:space="preserve">       2019/20</w:t>
            </w:r>
          </w:p>
        </w:tc>
        <w:tc>
          <w:tcPr>
            <w:tcW w:w="2307" w:type="dxa"/>
            <w:tcBorders>
              <w:top w:val="nil"/>
              <w:left w:val="nil"/>
              <w:bottom w:val="single" w:sz="8" w:space="0" w:color="auto"/>
              <w:right w:val="single" w:sz="8" w:space="0" w:color="auto"/>
            </w:tcBorders>
            <w:tcMar>
              <w:top w:w="0" w:type="dxa"/>
              <w:left w:w="108" w:type="dxa"/>
              <w:bottom w:w="0" w:type="dxa"/>
              <w:right w:w="108" w:type="dxa"/>
            </w:tcMar>
            <w:hideMark/>
          </w:tcPr>
          <w:p w:rsidR="00CA70D4" w:rsidRPr="006B763F" w:rsidRDefault="00CA70D4" w:rsidP="00912512">
            <w:pPr>
              <w:shd w:val="clear" w:color="auto" w:fill="FFFFFF"/>
              <w:ind w:hanging="14"/>
              <w:jc w:val="center"/>
              <w:rPr>
                <w:rFonts w:eastAsiaTheme="minorHAnsi" w:cs="Arial"/>
              </w:rPr>
            </w:pPr>
            <w:r w:rsidRPr="006B763F">
              <w:t>Reduce the </w:t>
            </w:r>
            <w:r>
              <w:t>G</w:t>
            </w:r>
            <w:r w:rsidRPr="006B763F">
              <w:t>ap between South Lanarkshire and those living in the worst 20% data zones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CA70D4" w:rsidRPr="006B763F" w:rsidRDefault="00CA70D4" w:rsidP="00CA70D4">
            <w:pPr>
              <w:shd w:val="clear" w:color="auto" w:fill="FFFFFF"/>
              <w:jc w:val="center"/>
              <w:rPr>
                <w:rFonts w:eastAsiaTheme="minorHAnsi" w:cs="Arial"/>
              </w:rPr>
            </w:pPr>
            <w:r w:rsidRPr="006B763F">
              <w:t xml:space="preserve">Reduce the </w:t>
            </w:r>
            <w:r>
              <w:t>G</w:t>
            </w:r>
            <w:r w:rsidRPr="006B763F">
              <w:t>ap between South Lanarkshire levels and those living in the worst 20% data zones</w:t>
            </w:r>
          </w:p>
        </w:tc>
      </w:tr>
    </w:tbl>
    <w:p w:rsidR="00D816FF" w:rsidRDefault="00D816FF">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102"/>
        <w:gridCol w:w="1417"/>
        <w:gridCol w:w="1843"/>
        <w:gridCol w:w="1135"/>
      </w:tblGrid>
      <w:tr w:rsidR="00BD09C2" w:rsidRPr="001338F3" w:rsidTr="00521C50">
        <w:trPr>
          <w:trHeight w:val="361"/>
        </w:trPr>
        <w:tc>
          <w:tcPr>
            <w:tcW w:w="1442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09C2" w:rsidRPr="001338F3" w:rsidRDefault="00804CE1" w:rsidP="002E0D59">
            <w:pPr>
              <w:pStyle w:val="ListBullet"/>
              <w:numPr>
                <w:ilvl w:val="0"/>
                <w:numId w:val="0"/>
              </w:numPr>
              <w:tabs>
                <w:tab w:val="left" w:pos="720"/>
              </w:tabs>
              <w:rPr>
                <w:rFonts w:ascii="Arial" w:hAnsi="Arial" w:cs="Arial"/>
                <w:b/>
                <w:sz w:val="22"/>
                <w:szCs w:val="22"/>
              </w:rPr>
            </w:pPr>
            <w:r>
              <w:br w:type="page"/>
            </w:r>
            <w:r w:rsidR="00BD09C2" w:rsidRPr="001338F3">
              <w:rPr>
                <w:rFonts w:ascii="Arial" w:hAnsi="Arial" w:cs="Arial"/>
                <w:b/>
                <w:sz w:val="22"/>
                <w:szCs w:val="22"/>
              </w:rPr>
              <w:t>We will take the following actions to achieve the outcome above</w:t>
            </w:r>
          </w:p>
        </w:tc>
      </w:tr>
      <w:tr w:rsidR="00BD09C2" w:rsidRPr="001338F3" w:rsidTr="00521C50">
        <w:trPr>
          <w:trHeight w:val="372"/>
        </w:trPr>
        <w:tc>
          <w:tcPr>
            <w:tcW w:w="49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D09C2" w:rsidRPr="001338F3" w:rsidRDefault="00BD09C2" w:rsidP="002E0D59">
            <w:pPr>
              <w:rPr>
                <w:rFonts w:cs="Arial"/>
                <w:b/>
              </w:rPr>
            </w:pPr>
            <w:r w:rsidRPr="001338F3">
              <w:rPr>
                <w:rFonts w:cs="Arial"/>
                <w:b/>
              </w:rPr>
              <w:t>Change Required</w:t>
            </w:r>
          </w:p>
        </w:tc>
        <w:tc>
          <w:tcPr>
            <w:tcW w:w="51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D09C2" w:rsidRPr="001338F3" w:rsidRDefault="00BD09C2" w:rsidP="002E0D59">
            <w:pPr>
              <w:rPr>
                <w:rFonts w:cs="Arial"/>
                <w:b/>
              </w:rPr>
            </w:pPr>
            <w:r w:rsidRPr="001338F3">
              <w:rPr>
                <w:rFonts w:cs="Arial"/>
                <w:b/>
              </w:rPr>
              <w:t>Action to achieve change ( including outcome measures and targets)</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D09C2" w:rsidRPr="001338F3" w:rsidRDefault="00BD09C2" w:rsidP="00FF4A13">
            <w:pPr>
              <w:jc w:val="center"/>
              <w:rPr>
                <w:rFonts w:cs="Arial"/>
                <w:b/>
              </w:rPr>
            </w:pPr>
            <w:r w:rsidRPr="001338F3">
              <w:rPr>
                <w:rFonts w:cs="Arial"/>
                <w:b/>
              </w:rPr>
              <w:t>Timescale</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D09C2" w:rsidRPr="001338F3" w:rsidRDefault="00BD09C2" w:rsidP="00FF4A13">
            <w:pPr>
              <w:jc w:val="center"/>
              <w:rPr>
                <w:rFonts w:cs="Arial"/>
                <w:b/>
              </w:rPr>
            </w:pPr>
            <w:r w:rsidRPr="001338F3">
              <w:rPr>
                <w:rFonts w:cs="Arial"/>
                <w:b/>
              </w:rPr>
              <w:t>Responsibility</w:t>
            </w:r>
          </w:p>
        </w:tc>
        <w:tc>
          <w:tcPr>
            <w:tcW w:w="11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D09C2" w:rsidRPr="001338F3" w:rsidRDefault="00EE5CEF" w:rsidP="00FF4A13">
            <w:pPr>
              <w:jc w:val="center"/>
              <w:rPr>
                <w:rFonts w:cs="Arial"/>
                <w:b/>
              </w:rPr>
            </w:pPr>
            <w:r>
              <w:rPr>
                <w:rFonts w:cs="Arial"/>
                <w:b/>
              </w:rPr>
              <w:t>Poverty Focus</w:t>
            </w:r>
          </w:p>
        </w:tc>
      </w:tr>
      <w:tr w:rsidR="00BD09C2" w:rsidRPr="001338F3" w:rsidTr="00521C50">
        <w:trPr>
          <w:trHeight w:val="416"/>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BD09C2" w:rsidRPr="00227385" w:rsidRDefault="00BD09C2" w:rsidP="001338F3">
            <w:pPr>
              <w:tabs>
                <w:tab w:val="left" w:pos="977"/>
              </w:tabs>
              <w:rPr>
                <w:rFonts w:cs="Arial"/>
              </w:rPr>
            </w:pPr>
            <w:r w:rsidRPr="00227385">
              <w:rPr>
                <w:rFonts w:cs="Arial"/>
              </w:rPr>
              <w:t xml:space="preserve">Increased commitment and efforts to promote fair </w:t>
            </w:r>
            <w:r w:rsidR="00FF4A13" w:rsidRPr="00227385">
              <w:rPr>
                <w:rFonts w:cs="Arial"/>
              </w:rPr>
              <w:t>work and tackle in-work poverty</w:t>
            </w:r>
          </w:p>
        </w:tc>
        <w:tc>
          <w:tcPr>
            <w:tcW w:w="5102" w:type="dxa"/>
            <w:tcBorders>
              <w:top w:val="single" w:sz="4" w:space="0" w:color="auto"/>
              <w:left w:val="single" w:sz="4" w:space="0" w:color="auto"/>
              <w:bottom w:val="single" w:sz="4" w:space="0" w:color="auto"/>
              <w:right w:val="single" w:sz="4" w:space="0" w:color="auto"/>
            </w:tcBorders>
          </w:tcPr>
          <w:p w:rsidR="00BD09C2" w:rsidRPr="00227385" w:rsidRDefault="00BD09C2" w:rsidP="00EE1523">
            <w:pPr>
              <w:pStyle w:val="ListParagraph"/>
              <w:numPr>
                <w:ilvl w:val="0"/>
                <w:numId w:val="48"/>
              </w:numPr>
              <w:shd w:val="clear" w:color="auto" w:fill="FFFFFF"/>
              <w:ind w:left="317" w:hanging="317"/>
              <w:rPr>
                <w:rFonts w:cs="Arial"/>
              </w:rPr>
            </w:pPr>
            <w:r w:rsidRPr="00227385">
              <w:rPr>
                <w:rFonts w:cs="Arial"/>
              </w:rPr>
              <w:t>Delivery of a South Lanarkshire Living Wage/Fair Work Campaign including key partners considering potential for additional activity to promote and encourage fair work practices through procurement/contracting/grant process</w:t>
            </w:r>
            <w:r w:rsidR="00D816FF" w:rsidRPr="00227385">
              <w:rPr>
                <w:rFonts w:cs="Arial"/>
              </w:rPr>
              <w:t>es and activity across partners</w:t>
            </w:r>
          </w:p>
          <w:p w:rsidR="00BD09C2" w:rsidRPr="00227385" w:rsidRDefault="00BD09C2" w:rsidP="00FF4A13">
            <w:pPr>
              <w:pStyle w:val="ListParagraph"/>
              <w:numPr>
                <w:ilvl w:val="0"/>
                <w:numId w:val="5"/>
              </w:numPr>
              <w:shd w:val="clear" w:color="auto" w:fill="FFFFFF"/>
              <w:ind w:left="317" w:hanging="317"/>
              <w:rPr>
                <w:rFonts w:cs="Arial"/>
              </w:rPr>
            </w:pPr>
            <w:r w:rsidRPr="00227385">
              <w:rPr>
                <w:rFonts w:cs="Arial"/>
              </w:rPr>
              <w:t xml:space="preserve">Monitor </w:t>
            </w:r>
            <w:r w:rsidR="000A413A" w:rsidRPr="00227385">
              <w:rPr>
                <w:rFonts w:cs="Arial"/>
              </w:rPr>
              <w:t xml:space="preserve">the </w:t>
            </w:r>
            <w:r w:rsidRPr="00227385">
              <w:rPr>
                <w:rFonts w:cs="Arial"/>
              </w:rPr>
              <w:t>n</w:t>
            </w:r>
            <w:r w:rsidR="004A173A" w:rsidRPr="00227385">
              <w:rPr>
                <w:rFonts w:cs="Arial"/>
              </w:rPr>
              <w:t>umber</w:t>
            </w:r>
            <w:r w:rsidRPr="00227385">
              <w:rPr>
                <w:rFonts w:cs="Arial"/>
              </w:rPr>
              <w:t xml:space="preserve"> of sign ups to National L</w:t>
            </w:r>
            <w:r w:rsidR="009C46E8" w:rsidRPr="00227385">
              <w:rPr>
                <w:rFonts w:cs="Arial"/>
              </w:rPr>
              <w:t>iving Wage Accreditation S</w:t>
            </w:r>
            <w:r w:rsidR="00FF4A13" w:rsidRPr="00227385">
              <w:rPr>
                <w:rFonts w:cs="Arial"/>
              </w:rPr>
              <w:t>cheme</w:t>
            </w:r>
          </w:p>
          <w:p w:rsidR="00BD09C2" w:rsidRPr="00227385" w:rsidRDefault="00BD09C2" w:rsidP="00FF4A13">
            <w:pPr>
              <w:pStyle w:val="ListParagraph"/>
              <w:numPr>
                <w:ilvl w:val="0"/>
                <w:numId w:val="5"/>
              </w:numPr>
              <w:shd w:val="clear" w:color="auto" w:fill="FFFFFF"/>
              <w:ind w:left="317" w:hanging="317"/>
              <w:rPr>
                <w:rFonts w:cs="Arial"/>
              </w:rPr>
            </w:pPr>
            <w:r w:rsidRPr="00227385">
              <w:rPr>
                <w:rFonts w:cs="Arial"/>
              </w:rPr>
              <w:t xml:space="preserve">Monitor </w:t>
            </w:r>
            <w:r w:rsidR="000A413A" w:rsidRPr="00227385">
              <w:rPr>
                <w:rFonts w:cs="Arial"/>
              </w:rPr>
              <w:t xml:space="preserve">the </w:t>
            </w:r>
            <w:r w:rsidRPr="00227385">
              <w:rPr>
                <w:rFonts w:cs="Arial"/>
              </w:rPr>
              <w:t>proportions of b</w:t>
            </w:r>
            <w:r w:rsidR="000A413A" w:rsidRPr="00227385">
              <w:rPr>
                <w:rFonts w:cs="Arial"/>
              </w:rPr>
              <w:t>usiness support clients paying t</w:t>
            </w:r>
            <w:r w:rsidRPr="00227385">
              <w:rPr>
                <w:rFonts w:cs="Arial"/>
              </w:rPr>
              <w:t xml:space="preserve">he Living Wage </w:t>
            </w:r>
          </w:p>
          <w:p w:rsidR="00BD09C2" w:rsidRPr="00227385" w:rsidRDefault="00BD09C2" w:rsidP="00FF4A13">
            <w:pPr>
              <w:pStyle w:val="ListParagraph"/>
              <w:numPr>
                <w:ilvl w:val="0"/>
                <w:numId w:val="5"/>
              </w:numPr>
              <w:shd w:val="clear" w:color="auto" w:fill="FFFFFF"/>
              <w:ind w:left="317" w:hanging="317"/>
              <w:rPr>
                <w:rFonts w:cs="Arial"/>
              </w:rPr>
            </w:pPr>
            <w:r w:rsidRPr="00227385">
              <w:rPr>
                <w:rFonts w:cs="Arial"/>
              </w:rPr>
              <w:t>Monitor the proportions of contracted/grant funde</w:t>
            </w:r>
            <w:r w:rsidR="00FF4A13" w:rsidRPr="00227385">
              <w:rPr>
                <w:rFonts w:cs="Arial"/>
              </w:rPr>
              <w:t>d bodies paying the Living Wage</w:t>
            </w:r>
          </w:p>
          <w:p w:rsidR="00936E99" w:rsidRPr="00227385" w:rsidRDefault="00936E99" w:rsidP="00EE1523">
            <w:pPr>
              <w:pStyle w:val="ListParagraph"/>
              <w:numPr>
                <w:ilvl w:val="0"/>
                <w:numId w:val="5"/>
              </w:numPr>
              <w:shd w:val="clear" w:color="auto" w:fill="FFFFFF"/>
              <w:ind w:left="317" w:hanging="317"/>
              <w:rPr>
                <w:rFonts w:cs="Arial"/>
              </w:rPr>
            </w:pPr>
            <w:r w:rsidRPr="00227385">
              <w:rPr>
                <w:rFonts w:cs="Arial"/>
              </w:rPr>
              <w:t xml:space="preserve">Support low paid residents to </w:t>
            </w:r>
            <w:r w:rsidR="00307FEF" w:rsidRPr="00227385">
              <w:rPr>
                <w:rFonts w:cs="Arial"/>
              </w:rPr>
              <w:t>up</w:t>
            </w:r>
            <w:r w:rsidR="00FF4A13" w:rsidRPr="00227385">
              <w:rPr>
                <w:rFonts w:cs="Arial"/>
              </w:rPr>
              <w:t>-</w:t>
            </w:r>
            <w:r w:rsidR="00307FEF" w:rsidRPr="00227385">
              <w:rPr>
                <w:rFonts w:cs="Arial"/>
              </w:rPr>
              <w:t>skill</w:t>
            </w:r>
            <w:r w:rsidRPr="00227385">
              <w:rPr>
                <w:rFonts w:cs="Arial"/>
              </w:rPr>
              <w:t xml:space="preserve"> and maximise earning potential (focus on parents and young adults and in particular low waged w</w:t>
            </w:r>
            <w:r w:rsidR="00EE1523" w:rsidRPr="00227385">
              <w:rPr>
                <w:rFonts w:cs="Arial"/>
              </w:rPr>
              <w:t>omen)</w:t>
            </w:r>
          </w:p>
          <w:p w:rsidR="00936E99" w:rsidRPr="00227385" w:rsidRDefault="00EE1523" w:rsidP="00EE1523">
            <w:pPr>
              <w:pStyle w:val="ListParagraph"/>
              <w:numPr>
                <w:ilvl w:val="0"/>
                <w:numId w:val="5"/>
              </w:numPr>
              <w:shd w:val="clear" w:color="auto" w:fill="FFFFFF"/>
              <w:ind w:left="317" w:hanging="317"/>
              <w:rPr>
                <w:rFonts w:cs="Arial"/>
              </w:rPr>
            </w:pPr>
            <w:r w:rsidRPr="00227385">
              <w:rPr>
                <w:rFonts w:cs="Arial"/>
              </w:rPr>
              <w:t>Report the</w:t>
            </w:r>
            <w:r w:rsidR="00936E99" w:rsidRPr="00227385">
              <w:rPr>
                <w:rFonts w:cs="Arial"/>
              </w:rPr>
              <w:t xml:space="preserve"> number of South Lanarkshire project participants suppo</w:t>
            </w:r>
            <w:r w:rsidR="009C46E8" w:rsidRPr="00227385">
              <w:rPr>
                <w:rFonts w:cs="Arial"/>
              </w:rPr>
              <w:t>rted whose income has increased</w:t>
            </w:r>
          </w:p>
        </w:tc>
        <w:tc>
          <w:tcPr>
            <w:tcW w:w="1417" w:type="dxa"/>
            <w:tcBorders>
              <w:top w:val="single" w:sz="4" w:space="0" w:color="auto"/>
              <w:left w:val="single" w:sz="4" w:space="0" w:color="auto"/>
              <w:bottom w:val="single" w:sz="4" w:space="0" w:color="auto"/>
              <w:right w:val="single" w:sz="4" w:space="0" w:color="auto"/>
            </w:tcBorders>
          </w:tcPr>
          <w:p w:rsidR="00883594" w:rsidRPr="00227385" w:rsidRDefault="00883594" w:rsidP="00FF4A13">
            <w:pPr>
              <w:tabs>
                <w:tab w:val="num" w:pos="1671"/>
              </w:tabs>
              <w:jc w:val="center"/>
              <w:rPr>
                <w:rFonts w:cs="Arial"/>
              </w:rPr>
            </w:pPr>
            <w:r w:rsidRPr="00227385">
              <w:rPr>
                <w:rFonts w:cs="Arial"/>
              </w:rPr>
              <w:t>Ongoing activity to be reviewed annually</w:t>
            </w:r>
          </w:p>
          <w:p w:rsidR="00883594" w:rsidRPr="00227385" w:rsidRDefault="00883594" w:rsidP="00FF4A13">
            <w:pPr>
              <w:jc w:val="center"/>
              <w:rPr>
                <w:rFonts w:cs="Arial"/>
              </w:rPr>
            </w:pPr>
          </w:p>
          <w:p w:rsidR="00883594" w:rsidRPr="00227385" w:rsidRDefault="00883594" w:rsidP="00FF4A13">
            <w:pPr>
              <w:jc w:val="center"/>
              <w:rPr>
                <w:rFonts w:cs="Arial"/>
              </w:rPr>
            </w:pPr>
          </w:p>
          <w:p w:rsidR="00883594" w:rsidRPr="00227385" w:rsidRDefault="00883594" w:rsidP="00FF4A13">
            <w:pPr>
              <w:jc w:val="center"/>
              <w:rPr>
                <w:rFonts w:cs="Arial"/>
              </w:rPr>
            </w:pPr>
          </w:p>
          <w:p w:rsidR="00883594" w:rsidRPr="00227385" w:rsidRDefault="00883594" w:rsidP="00FF4A13">
            <w:pPr>
              <w:jc w:val="center"/>
              <w:rPr>
                <w:rFonts w:cs="Arial"/>
              </w:rPr>
            </w:pPr>
          </w:p>
          <w:p w:rsidR="00883594" w:rsidRPr="00227385" w:rsidRDefault="00883594" w:rsidP="00FF4A13">
            <w:pPr>
              <w:jc w:val="center"/>
              <w:rPr>
                <w:rFonts w:cs="Arial"/>
              </w:rPr>
            </w:pPr>
          </w:p>
          <w:p w:rsidR="00883594" w:rsidRPr="00227385" w:rsidRDefault="00883594" w:rsidP="00FF4A13">
            <w:pPr>
              <w:jc w:val="center"/>
              <w:rPr>
                <w:rFonts w:cs="Arial"/>
              </w:rPr>
            </w:pPr>
          </w:p>
          <w:p w:rsidR="00883594" w:rsidRPr="00227385" w:rsidRDefault="00883594" w:rsidP="00FF4A13">
            <w:pPr>
              <w:jc w:val="center"/>
              <w:rPr>
                <w:rFonts w:cs="Arial"/>
              </w:rPr>
            </w:pPr>
          </w:p>
          <w:p w:rsidR="00883594" w:rsidRPr="00227385" w:rsidRDefault="00883594" w:rsidP="00FF4A13">
            <w:pPr>
              <w:jc w:val="center"/>
              <w:rPr>
                <w:rFonts w:cs="Arial"/>
              </w:rPr>
            </w:pPr>
          </w:p>
          <w:p w:rsidR="00883594" w:rsidRPr="00227385" w:rsidRDefault="00883594" w:rsidP="00FF4A13">
            <w:pPr>
              <w:jc w:val="center"/>
              <w:rPr>
                <w:rFonts w:cs="Arial"/>
              </w:rPr>
            </w:pPr>
          </w:p>
          <w:p w:rsidR="00914A9C" w:rsidRPr="00227385" w:rsidRDefault="00914A9C" w:rsidP="00FF4A13">
            <w:pPr>
              <w:jc w:val="center"/>
              <w:rPr>
                <w:rFonts w:cs="Arial"/>
              </w:rPr>
            </w:pPr>
          </w:p>
          <w:p w:rsidR="00BD09C2" w:rsidRPr="00227385" w:rsidRDefault="00BD09C2" w:rsidP="00FF4A13">
            <w:pPr>
              <w:jc w:val="center"/>
              <w:rPr>
                <w:rFonts w:cs="Arial"/>
                <w:color w:val="FF0000"/>
              </w:rPr>
            </w:pPr>
          </w:p>
        </w:tc>
        <w:tc>
          <w:tcPr>
            <w:tcW w:w="1843" w:type="dxa"/>
            <w:tcBorders>
              <w:top w:val="single" w:sz="4" w:space="0" w:color="auto"/>
              <w:left w:val="single" w:sz="4" w:space="0" w:color="auto"/>
              <w:bottom w:val="single" w:sz="4" w:space="0" w:color="auto"/>
              <w:right w:val="single" w:sz="4" w:space="0" w:color="auto"/>
            </w:tcBorders>
          </w:tcPr>
          <w:p w:rsidR="00BD09C2" w:rsidRPr="00227385" w:rsidRDefault="00BD09C2" w:rsidP="00FF4A13">
            <w:pPr>
              <w:tabs>
                <w:tab w:val="num" w:pos="1671"/>
              </w:tabs>
              <w:jc w:val="center"/>
              <w:rPr>
                <w:rFonts w:cs="Arial"/>
              </w:rPr>
            </w:pPr>
            <w:r w:rsidRPr="00227385">
              <w:rPr>
                <w:rFonts w:cs="Arial"/>
              </w:rPr>
              <w:t>SLC Community and Enterprise Resources</w:t>
            </w:r>
            <w:r w:rsidR="00FF4A13" w:rsidRPr="00227385">
              <w:rPr>
                <w:rFonts w:cs="Arial"/>
              </w:rPr>
              <w:t>/</w:t>
            </w:r>
          </w:p>
          <w:p w:rsidR="00BD09C2" w:rsidRPr="00227385" w:rsidRDefault="00FF4A13" w:rsidP="00FF4A13">
            <w:pPr>
              <w:tabs>
                <w:tab w:val="num" w:pos="1671"/>
              </w:tabs>
              <w:jc w:val="center"/>
              <w:rPr>
                <w:rFonts w:cs="Arial"/>
              </w:rPr>
            </w:pPr>
            <w:r w:rsidRPr="00227385">
              <w:rPr>
                <w:rFonts w:cs="Arial"/>
              </w:rPr>
              <w:t>Scottish Enterprise</w:t>
            </w:r>
          </w:p>
          <w:p w:rsidR="00BD09C2" w:rsidRPr="00227385" w:rsidRDefault="00BD09C2" w:rsidP="00FF4A13">
            <w:pPr>
              <w:tabs>
                <w:tab w:val="num" w:pos="1671"/>
              </w:tabs>
              <w:jc w:val="center"/>
              <w:rPr>
                <w:rFonts w:cs="Arial"/>
              </w:rPr>
            </w:pPr>
          </w:p>
          <w:p w:rsidR="00936E99" w:rsidRPr="00227385" w:rsidRDefault="00BD09C2" w:rsidP="00FF4A13">
            <w:pPr>
              <w:tabs>
                <w:tab w:val="num" w:pos="1671"/>
              </w:tabs>
              <w:jc w:val="center"/>
              <w:rPr>
                <w:rFonts w:cs="Arial"/>
              </w:rPr>
            </w:pPr>
            <w:r w:rsidRPr="00227385">
              <w:rPr>
                <w:rFonts w:cs="Arial"/>
              </w:rPr>
              <w:t>Living Wage Steering Group</w:t>
            </w:r>
          </w:p>
          <w:p w:rsidR="00936E99" w:rsidRPr="00227385" w:rsidRDefault="00936E99" w:rsidP="00FF4A13">
            <w:pPr>
              <w:jc w:val="center"/>
              <w:rPr>
                <w:rFonts w:cs="Arial"/>
              </w:rPr>
            </w:pPr>
          </w:p>
          <w:p w:rsidR="00936E99" w:rsidRPr="00227385" w:rsidRDefault="00936E99" w:rsidP="00FF4A13">
            <w:pPr>
              <w:jc w:val="center"/>
              <w:rPr>
                <w:rFonts w:cs="Arial"/>
              </w:rPr>
            </w:pPr>
            <w:r w:rsidRPr="00227385">
              <w:rPr>
                <w:rFonts w:cs="Arial"/>
              </w:rPr>
              <w:t>SLC Corporate Resources</w:t>
            </w:r>
          </w:p>
          <w:p w:rsidR="00936E99" w:rsidRPr="00227385" w:rsidRDefault="00936E99" w:rsidP="00FF4A13">
            <w:pPr>
              <w:jc w:val="center"/>
              <w:rPr>
                <w:rFonts w:cs="Arial"/>
              </w:rPr>
            </w:pPr>
          </w:p>
          <w:p w:rsidR="00BD09C2" w:rsidRPr="00227385" w:rsidRDefault="00936E99" w:rsidP="00FF4A13">
            <w:pPr>
              <w:jc w:val="center"/>
              <w:rPr>
                <w:rFonts w:cs="Arial"/>
              </w:rPr>
            </w:pPr>
            <w:r w:rsidRPr="00227385">
              <w:rPr>
                <w:rFonts w:cs="Arial"/>
              </w:rPr>
              <w:t>Skills Development Scotland</w:t>
            </w:r>
          </w:p>
          <w:p w:rsidR="00936E99" w:rsidRPr="00227385" w:rsidRDefault="00936E99" w:rsidP="00FF4A13">
            <w:pPr>
              <w:jc w:val="center"/>
              <w:rPr>
                <w:rFonts w:cs="Arial"/>
              </w:rPr>
            </w:pPr>
          </w:p>
          <w:p w:rsidR="00936E99" w:rsidRPr="00227385" w:rsidRDefault="00936E99" w:rsidP="00FF4A13">
            <w:pPr>
              <w:jc w:val="center"/>
              <w:rPr>
                <w:rFonts w:cs="Arial"/>
              </w:rPr>
            </w:pPr>
            <w:r w:rsidRPr="00227385">
              <w:rPr>
                <w:rFonts w:cs="Arial"/>
              </w:rPr>
              <w:t>Scottish Enterprise</w:t>
            </w:r>
          </w:p>
          <w:p w:rsidR="00936E99" w:rsidRPr="00227385" w:rsidRDefault="00936E99" w:rsidP="00FF4A13">
            <w:pPr>
              <w:jc w:val="center"/>
              <w:rPr>
                <w:rFonts w:cs="Arial"/>
              </w:rPr>
            </w:pPr>
          </w:p>
          <w:p w:rsidR="00936E99" w:rsidRPr="00227385" w:rsidRDefault="00936E99" w:rsidP="00FF4A13">
            <w:pPr>
              <w:jc w:val="center"/>
              <w:rPr>
                <w:rFonts w:cs="Arial"/>
              </w:rPr>
            </w:pPr>
            <w:r w:rsidRPr="00227385">
              <w:rPr>
                <w:rFonts w:cs="Arial"/>
              </w:rPr>
              <w:t>Private Sector partners</w:t>
            </w:r>
          </w:p>
        </w:tc>
        <w:tc>
          <w:tcPr>
            <w:tcW w:w="1135" w:type="dxa"/>
            <w:tcBorders>
              <w:top w:val="single" w:sz="4" w:space="0" w:color="auto"/>
              <w:left w:val="single" w:sz="4" w:space="0" w:color="auto"/>
              <w:bottom w:val="single" w:sz="4" w:space="0" w:color="auto"/>
              <w:right w:val="single" w:sz="4" w:space="0" w:color="auto"/>
            </w:tcBorders>
          </w:tcPr>
          <w:p w:rsidR="00BD09C2" w:rsidRPr="00227385" w:rsidRDefault="00936E99" w:rsidP="00FF4A13">
            <w:pPr>
              <w:tabs>
                <w:tab w:val="num" w:pos="1671"/>
              </w:tabs>
              <w:jc w:val="center"/>
              <w:rPr>
                <w:rFonts w:cs="Arial"/>
              </w:rPr>
            </w:pPr>
            <w:r w:rsidRPr="00227385">
              <w:rPr>
                <w:rFonts w:cs="Arial"/>
              </w:rPr>
              <w:t>1,2</w:t>
            </w:r>
          </w:p>
        </w:tc>
      </w:tr>
      <w:tr w:rsidR="00BD09C2" w:rsidRPr="001338F3" w:rsidTr="00521C50">
        <w:trPr>
          <w:trHeight w:val="2117"/>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BD09C2" w:rsidRPr="00CC03A9" w:rsidRDefault="00BD09C2" w:rsidP="00EE1523">
            <w:pPr>
              <w:shd w:val="clear" w:color="auto" w:fill="FFFFFF"/>
              <w:rPr>
                <w:rFonts w:cs="Arial"/>
              </w:rPr>
            </w:pPr>
            <w:r w:rsidRPr="00CC03A9">
              <w:rPr>
                <w:rFonts w:cs="Arial"/>
              </w:rPr>
              <w:t xml:space="preserve">Increase the engagement of low </w:t>
            </w:r>
            <w:r w:rsidR="00560598" w:rsidRPr="00CC03A9">
              <w:rPr>
                <w:rFonts w:cs="Arial"/>
              </w:rPr>
              <w:t>in</w:t>
            </w:r>
            <w:r w:rsidRPr="00CC03A9">
              <w:rPr>
                <w:rFonts w:cs="Arial"/>
              </w:rPr>
              <w:t>come/unemployed residents in activity to support progress to a</w:t>
            </w:r>
            <w:r w:rsidR="00EE1523">
              <w:rPr>
                <w:rFonts w:cs="Arial"/>
              </w:rPr>
              <w:t>nd within work with a focus on p</w:t>
            </w:r>
            <w:r w:rsidRPr="00CC03A9">
              <w:rPr>
                <w:rFonts w:cs="Arial"/>
              </w:rPr>
              <w:t>arents</w:t>
            </w:r>
            <w:r w:rsidR="00EE1523">
              <w:rPr>
                <w:rFonts w:cs="Arial"/>
              </w:rPr>
              <w:t>; h</w:t>
            </w:r>
            <w:r w:rsidRPr="00CC03A9">
              <w:rPr>
                <w:rFonts w:cs="Arial"/>
              </w:rPr>
              <w:t>omeless adults/families</w:t>
            </w:r>
            <w:r w:rsidR="00EE1523">
              <w:rPr>
                <w:rFonts w:cs="Arial"/>
              </w:rPr>
              <w:t>; t</w:t>
            </w:r>
            <w:r w:rsidRPr="00CC03A9">
              <w:rPr>
                <w:rFonts w:cs="Arial"/>
              </w:rPr>
              <w:t>argeted communities with high levels of em</w:t>
            </w:r>
            <w:r w:rsidR="00FF4A13" w:rsidRPr="00CC03A9">
              <w:rPr>
                <w:rFonts w:cs="Arial"/>
              </w:rPr>
              <w:t>ployment and income deprivation</w:t>
            </w:r>
            <w:r w:rsidR="00EE1523">
              <w:rPr>
                <w:rFonts w:cs="Arial"/>
              </w:rPr>
              <w:t>; t</w:t>
            </w:r>
            <w:r w:rsidRPr="00CC03A9">
              <w:rPr>
                <w:rFonts w:cs="Arial"/>
              </w:rPr>
              <w:t>hose with significant barriers to work such as substance misuse</w:t>
            </w:r>
            <w:r w:rsidR="004A24E3">
              <w:rPr>
                <w:rFonts w:cs="Arial"/>
              </w:rPr>
              <w:t>, disability, poor mental health and criminal convictions</w:t>
            </w:r>
          </w:p>
        </w:tc>
        <w:tc>
          <w:tcPr>
            <w:tcW w:w="5102" w:type="dxa"/>
            <w:tcBorders>
              <w:top w:val="single" w:sz="4" w:space="0" w:color="auto"/>
              <w:left w:val="single" w:sz="4" w:space="0" w:color="auto"/>
              <w:bottom w:val="single" w:sz="4" w:space="0" w:color="auto"/>
              <w:right w:val="single" w:sz="4" w:space="0" w:color="auto"/>
            </w:tcBorders>
          </w:tcPr>
          <w:p w:rsidR="005745DF" w:rsidRDefault="00CC03A9" w:rsidP="00141AAC">
            <w:pPr>
              <w:pStyle w:val="ListParagraph"/>
              <w:numPr>
                <w:ilvl w:val="0"/>
                <w:numId w:val="49"/>
              </w:numPr>
              <w:shd w:val="clear" w:color="auto" w:fill="FFFFFF"/>
              <w:ind w:left="317" w:hanging="317"/>
              <w:rPr>
                <w:rFonts w:cs="Arial"/>
              </w:rPr>
            </w:pPr>
            <w:r w:rsidRPr="00141AAC">
              <w:rPr>
                <w:rFonts w:cs="Arial"/>
              </w:rPr>
              <w:t>In view of changes in the employability landscape</w:t>
            </w:r>
            <w:r w:rsidR="000A413A" w:rsidRPr="00141AAC">
              <w:rPr>
                <w:rFonts w:cs="Arial"/>
              </w:rPr>
              <w:t>,</w:t>
            </w:r>
            <w:r w:rsidR="00970708" w:rsidRPr="00141AAC">
              <w:rPr>
                <w:rFonts w:cs="Arial"/>
              </w:rPr>
              <w:t xml:space="preserve"> review the current arrangements and e</w:t>
            </w:r>
            <w:r w:rsidR="005745DF" w:rsidRPr="00141AAC">
              <w:rPr>
                <w:rFonts w:cs="Arial"/>
              </w:rPr>
              <w:t xml:space="preserve">stablish a </w:t>
            </w:r>
            <w:r w:rsidR="00970708" w:rsidRPr="00141AAC">
              <w:rPr>
                <w:rFonts w:cs="Arial"/>
              </w:rPr>
              <w:t xml:space="preserve">revised </w:t>
            </w:r>
            <w:r w:rsidR="005745DF" w:rsidRPr="00141AAC">
              <w:rPr>
                <w:rFonts w:cs="Arial"/>
              </w:rPr>
              <w:t>South Lanarkshire Employability Partnership (Adult Employability</w:t>
            </w:r>
            <w:r w:rsidR="004872F1" w:rsidRPr="00141AAC">
              <w:rPr>
                <w:rFonts w:cs="Arial"/>
              </w:rPr>
              <w:t xml:space="preserve"> and linked to Opportunities for All Group</w:t>
            </w:r>
            <w:r w:rsidR="005745DF" w:rsidRPr="00141AAC">
              <w:rPr>
                <w:rFonts w:cs="Arial"/>
              </w:rPr>
              <w:t xml:space="preserve">) to ensure a coordinated approach to assessing and responding to need and reporting performance </w:t>
            </w:r>
          </w:p>
          <w:p w:rsidR="00141AAC" w:rsidRDefault="00141AAC" w:rsidP="00141AAC">
            <w:pPr>
              <w:pStyle w:val="ListParagraph"/>
              <w:shd w:val="clear" w:color="auto" w:fill="FFFFFF"/>
              <w:ind w:left="317"/>
              <w:rPr>
                <w:rFonts w:cs="Arial"/>
              </w:rPr>
            </w:pPr>
          </w:p>
          <w:p w:rsidR="00141AAC" w:rsidRPr="00141AAC" w:rsidRDefault="00141AAC" w:rsidP="00141AAC">
            <w:pPr>
              <w:pStyle w:val="ListParagraph"/>
              <w:shd w:val="clear" w:color="auto" w:fill="FFFFFF"/>
              <w:ind w:left="317"/>
              <w:rPr>
                <w:rFonts w:cs="Arial"/>
              </w:rPr>
            </w:pPr>
          </w:p>
          <w:p w:rsidR="005745DF" w:rsidRPr="00141AAC" w:rsidRDefault="005745DF" w:rsidP="00141AAC">
            <w:pPr>
              <w:pStyle w:val="ListParagraph"/>
              <w:numPr>
                <w:ilvl w:val="0"/>
                <w:numId w:val="49"/>
              </w:numPr>
              <w:shd w:val="clear" w:color="auto" w:fill="FFFFFF"/>
              <w:ind w:left="317" w:hanging="317"/>
              <w:rPr>
                <w:rFonts w:cs="Arial"/>
              </w:rPr>
            </w:pPr>
            <w:r w:rsidRPr="00141AAC">
              <w:rPr>
                <w:rFonts w:cs="Arial"/>
              </w:rPr>
              <w:t>Partnership interventions t</w:t>
            </w:r>
            <w:r w:rsidR="0046506E" w:rsidRPr="00141AAC">
              <w:rPr>
                <w:rFonts w:cs="Arial"/>
              </w:rPr>
              <w:t>o be agreed by the Partnership G</w:t>
            </w:r>
            <w:r w:rsidRPr="00141AAC">
              <w:rPr>
                <w:rFonts w:cs="Arial"/>
              </w:rPr>
              <w:t>roup and to include establishing accessible first points of contact in community spaces</w:t>
            </w:r>
            <w:r w:rsidR="00905F7A" w:rsidRPr="00141AAC">
              <w:rPr>
                <w:rFonts w:cs="Arial"/>
              </w:rPr>
              <w:t>, initially in Neighbourhood Planning areas</w:t>
            </w:r>
          </w:p>
          <w:p w:rsidR="00BD09C2" w:rsidRPr="00141AAC" w:rsidRDefault="004872F1" w:rsidP="00141AAC">
            <w:pPr>
              <w:pStyle w:val="ListParagraph"/>
              <w:numPr>
                <w:ilvl w:val="0"/>
                <w:numId w:val="49"/>
              </w:numPr>
              <w:shd w:val="clear" w:color="auto" w:fill="FFFFFF"/>
              <w:ind w:left="317" w:hanging="317"/>
              <w:rPr>
                <w:rFonts w:cs="Arial"/>
              </w:rPr>
            </w:pPr>
            <w:r w:rsidRPr="00141AAC">
              <w:rPr>
                <w:rFonts w:cs="Arial"/>
              </w:rPr>
              <w:t>Consideration of p</w:t>
            </w:r>
            <w:r w:rsidR="00905F7A" w:rsidRPr="00141AAC">
              <w:rPr>
                <w:rFonts w:cs="Arial"/>
              </w:rPr>
              <w:t>rovision of wider support to ensure a holistic approach including welfare/</w:t>
            </w:r>
            <w:r w:rsidRPr="00141AAC">
              <w:rPr>
                <w:rFonts w:cs="Arial"/>
              </w:rPr>
              <w:t xml:space="preserve"> </w:t>
            </w:r>
            <w:r w:rsidR="00905F7A" w:rsidRPr="00141AAC">
              <w:rPr>
                <w:rFonts w:cs="Arial"/>
              </w:rPr>
              <w:t>financial wellbeing/housing/health</w:t>
            </w:r>
          </w:p>
        </w:tc>
        <w:tc>
          <w:tcPr>
            <w:tcW w:w="1417" w:type="dxa"/>
            <w:tcBorders>
              <w:top w:val="single" w:sz="4" w:space="0" w:color="auto"/>
              <w:left w:val="single" w:sz="4" w:space="0" w:color="auto"/>
              <w:bottom w:val="single" w:sz="4" w:space="0" w:color="auto"/>
              <w:right w:val="single" w:sz="4" w:space="0" w:color="auto"/>
            </w:tcBorders>
          </w:tcPr>
          <w:p w:rsidR="00905F7A" w:rsidRPr="00970708" w:rsidRDefault="005745DF" w:rsidP="005745DF">
            <w:pPr>
              <w:tabs>
                <w:tab w:val="num" w:pos="1671"/>
              </w:tabs>
              <w:jc w:val="center"/>
              <w:rPr>
                <w:rFonts w:cs="Arial"/>
              </w:rPr>
            </w:pPr>
            <w:r w:rsidRPr="00970708">
              <w:rPr>
                <w:rFonts w:cs="Arial"/>
              </w:rPr>
              <w:t>June</w:t>
            </w:r>
            <w:r w:rsidR="00914A9C" w:rsidRPr="00970708">
              <w:rPr>
                <w:rFonts w:cs="Arial"/>
              </w:rPr>
              <w:t xml:space="preserve"> 20</w:t>
            </w:r>
            <w:r w:rsidRPr="00970708">
              <w:rPr>
                <w:rFonts w:cs="Arial"/>
              </w:rPr>
              <w:t>18</w:t>
            </w:r>
          </w:p>
          <w:p w:rsidR="00905F7A" w:rsidRPr="00970708" w:rsidRDefault="00905F7A" w:rsidP="00905F7A">
            <w:pPr>
              <w:rPr>
                <w:rFonts w:cs="Arial"/>
              </w:rPr>
            </w:pPr>
          </w:p>
          <w:p w:rsidR="00905F7A" w:rsidRPr="00970708" w:rsidRDefault="00905F7A" w:rsidP="00905F7A">
            <w:pPr>
              <w:rPr>
                <w:rFonts w:cs="Arial"/>
              </w:rPr>
            </w:pPr>
          </w:p>
          <w:p w:rsidR="00905F7A" w:rsidRPr="00970708" w:rsidRDefault="00905F7A" w:rsidP="00905F7A">
            <w:pPr>
              <w:rPr>
                <w:rFonts w:cs="Arial"/>
              </w:rPr>
            </w:pPr>
          </w:p>
          <w:p w:rsidR="00BD09C2" w:rsidRPr="00970708" w:rsidRDefault="00BD09C2" w:rsidP="00905F7A">
            <w:pPr>
              <w:jc w:val="center"/>
              <w:rPr>
                <w:rFonts w:cs="Arial"/>
              </w:rPr>
            </w:pPr>
          </w:p>
          <w:p w:rsidR="004872F1" w:rsidRDefault="004872F1" w:rsidP="00905F7A">
            <w:pPr>
              <w:jc w:val="center"/>
              <w:rPr>
                <w:rFonts w:cs="Arial"/>
              </w:rPr>
            </w:pPr>
          </w:p>
          <w:p w:rsidR="0046506E" w:rsidRDefault="0046506E" w:rsidP="00905F7A">
            <w:pPr>
              <w:jc w:val="center"/>
              <w:rPr>
                <w:rFonts w:cs="Arial"/>
              </w:rPr>
            </w:pPr>
          </w:p>
          <w:p w:rsidR="0046506E" w:rsidRDefault="0046506E" w:rsidP="00905F7A">
            <w:pPr>
              <w:jc w:val="center"/>
              <w:rPr>
                <w:rFonts w:cs="Arial"/>
              </w:rPr>
            </w:pPr>
          </w:p>
          <w:p w:rsidR="00141AAC" w:rsidRDefault="00141AAC" w:rsidP="00905F7A">
            <w:pPr>
              <w:jc w:val="center"/>
              <w:rPr>
                <w:rFonts w:cs="Arial"/>
              </w:rPr>
            </w:pPr>
          </w:p>
          <w:p w:rsidR="00141AAC" w:rsidRDefault="00141AAC" w:rsidP="00905F7A">
            <w:pPr>
              <w:jc w:val="center"/>
              <w:rPr>
                <w:rFonts w:cs="Arial"/>
              </w:rPr>
            </w:pPr>
          </w:p>
          <w:p w:rsidR="00141AAC" w:rsidRPr="00970708" w:rsidRDefault="00141AAC" w:rsidP="00905F7A">
            <w:pPr>
              <w:jc w:val="center"/>
              <w:rPr>
                <w:rFonts w:cs="Arial"/>
              </w:rPr>
            </w:pPr>
          </w:p>
          <w:p w:rsidR="004872F1" w:rsidRPr="00970708" w:rsidRDefault="00905F7A" w:rsidP="00905F7A">
            <w:pPr>
              <w:jc w:val="center"/>
              <w:rPr>
                <w:rFonts w:cs="Arial"/>
              </w:rPr>
            </w:pPr>
            <w:r w:rsidRPr="00970708">
              <w:rPr>
                <w:rFonts w:cs="Arial"/>
              </w:rPr>
              <w:t xml:space="preserve">October 2018 </w:t>
            </w:r>
          </w:p>
          <w:p w:rsidR="004872F1" w:rsidRPr="00970708" w:rsidRDefault="004872F1" w:rsidP="004872F1">
            <w:pPr>
              <w:rPr>
                <w:rFonts w:cs="Arial"/>
              </w:rPr>
            </w:pPr>
          </w:p>
          <w:p w:rsidR="004872F1" w:rsidRPr="00970708" w:rsidRDefault="004872F1" w:rsidP="004872F1">
            <w:pPr>
              <w:rPr>
                <w:rFonts w:cs="Arial"/>
              </w:rPr>
            </w:pPr>
          </w:p>
          <w:p w:rsidR="004872F1" w:rsidRDefault="004872F1" w:rsidP="004872F1">
            <w:pPr>
              <w:rPr>
                <w:rFonts w:cs="Arial"/>
              </w:rPr>
            </w:pPr>
          </w:p>
          <w:p w:rsidR="00905F7A" w:rsidRPr="00970708" w:rsidRDefault="004872F1" w:rsidP="004872F1">
            <w:pPr>
              <w:jc w:val="center"/>
              <w:rPr>
                <w:rFonts w:cs="Arial"/>
              </w:rPr>
            </w:pPr>
            <w:r w:rsidRPr="00970708">
              <w:rPr>
                <w:rFonts w:cs="Arial"/>
              </w:rPr>
              <w:t>March 2019</w:t>
            </w:r>
          </w:p>
        </w:tc>
        <w:tc>
          <w:tcPr>
            <w:tcW w:w="1843" w:type="dxa"/>
            <w:tcBorders>
              <w:top w:val="single" w:sz="4" w:space="0" w:color="auto"/>
              <w:left w:val="single" w:sz="4" w:space="0" w:color="auto"/>
              <w:bottom w:val="single" w:sz="4" w:space="0" w:color="auto"/>
              <w:right w:val="single" w:sz="4" w:space="0" w:color="auto"/>
            </w:tcBorders>
          </w:tcPr>
          <w:p w:rsidR="00BD09C2" w:rsidRPr="00970708" w:rsidRDefault="00BD09C2" w:rsidP="00D816FF">
            <w:pPr>
              <w:tabs>
                <w:tab w:val="num" w:pos="1671"/>
              </w:tabs>
              <w:jc w:val="center"/>
              <w:rPr>
                <w:rFonts w:cs="Arial"/>
              </w:rPr>
            </w:pPr>
            <w:r w:rsidRPr="00970708">
              <w:rPr>
                <w:rFonts w:cs="Arial"/>
              </w:rPr>
              <w:t>SLC Co</w:t>
            </w:r>
            <w:r w:rsidR="00936E99" w:rsidRPr="00970708">
              <w:rPr>
                <w:rFonts w:cs="Arial"/>
              </w:rPr>
              <w:t>rporate</w:t>
            </w:r>
          </w:p>
          <w:p w:rsidR="00936E99" w:rsidRPr="00970708" w:rsidRDefault="00936E99" w:rsidP="00D816FF">
            <w:pPr>
              <w:tabs>
                <w:tab w:val="num" w:pos="1671"/>
              </w:tabs>
              <w:jc w:val="center"/>
              <w:rPr>
                <w:rFonts w:cs="Arial"/>
              </w:rPr>
            </w:pPr>
            <w:r w:rsidRPr="00970708">
              <w:rPr>
                <w:rFonts w:cs="Arial"/>
              </w:rPr>
              <w:t>Resources</w:t>
            </w:r>
            <w:r w:rsidR="00905F7A" w:rsidRPr="00970708">
              <w:rPr>
                <w:rFonts w:cs="Arial"/>
              </w:rPr>
              <w:t xml:space="preserve"> leading and involving </w:t>
            </w:r>
            <w:r w:rsidR="00D816FF">
              <w:rPr>
                <w:rFonts w:cs="Arial"/>
              </w:rPr>
              <w:t>all relevant delivery partners</w:t>
            </w:r>
          </w:p>
          <w:p w:rsidR="00BD09C2" w:rsidRDefault="00BD09C2" w:rsidP="00D816FF">
            <w:pPr>
              <w:jc w:val="center"/>
              <w:rPr>
                <w:rFonts w:cs="Arial"/>
              </w:rPr>
            </w:pPr>
          </w:p>
          <w:p w:rsidR="00141AAC" w:rsidRDefault="00141AAC" w:rsidP="00D816FF">
            <w:pPr>
              <w:jc w:val="center"/>
              <w:rPr>
                <w:rFonts w:cs="Arial"/>
              </w:rPr>
            </w:pPr>
          </w:p>
          <w:p w:rsidR="00141AAC" w:rsidRDefault="00141AAC" w:rsidP="00D816FF">
            <w:pPr>
              <w:jc w:val="center"/>
              <w:rPr>
                <w:rFonts w:cs="Arial"/>
              </w:rPr>
            </w:pPr>
          </w:p>
          <w:p w:rsidR="00141AAC" w:rsidRDefault="00141AAC" w:rsidP="00D816FF">
            <w:pPr>
              <w:jc w:val="center"/>
              <w:rPr>
                <w:rFonts w:cs="Arial"/>
              </w:rPr>
            </w:pPr>
          </w:p>
          <w:p w:rsidR="00141AAC" w:rsidRDefault="00141AAC" w:rsidP="00D816FF">
            <w:pPr>
              <w:jc w:val="center"/>
              <w:rPr>
                <w:rFonts w:cs="Arial"/>
              </w:rPr>
            </w:pPr>
          </w:p>
          <w:p w:rsidR="00141AAC" w:rsidRPr="00970708" w:rsidRDefault="00141AAC" w:rsidP="00141AAC">
            <w:pPr>
              <w:tabs>
                <w:tab w:val="num" w:pos="1671"/>
              </w:tabs>
              <w:jc w:val="center"/>
              <w:rPr>
                <w:rFonts w:cs="Arial"/>
              </w:rPr>
            </w:pPr>
            <w:r w:rsidRPr="00970708">
              <w:rPr>
                <w:rFonts w:cs="Arial"/>
              </w:rPr>
              <w:t>SLC Corporate</w:t>
            </w:r>
          </w:p>
          <w:p w:rsidR="00BD09C2" w:rsidRPr="00970708" w:rsidRDefault="00141AAC" w:rsidP="00141AAC">
            <w:pPr>
              <w:tabs>
                <w:tab w:val="num" w:pos="1671"/>
              </w:tabs>
              <w:jc w:val="center"/>
              <w:rPr>
                <w:rFonts w:cs="Arial"/>
              </w:rPr>
            </w:pPr>
            <w:r w:rsidRPr="00970708">
              <w:rPr>
                <w:rFonts w:cs="Arial"/>
              </w:rPr>
              <w:t xml:space="preserve">Resources leading and involving </w:t>
            </w:r>
            <w:r>
              <w:rPr>
                <w:rFonts w:cs="Arial"/>
              </w:rPr>
              <w:t>all relevant delivery partners</w:t>
            </w:r>
          </w:p>
          <w:p w:rsidR="00BD09C2" w:rsidRPr="00970708" w:rsidRDefault="00BD09C2" w:rsidP="00D816FF">
            <w:pPr>
              <w:jc w:val="center"/>
              <w:rPr>
                <w:rFonts w:cs="Arial"/>
              </w:rPr>
            </w:pPr>
          </w:p>
          <w:p w:rsidR="00BD09C2" w:rsidRPr="00970708" w:rsidRDefault="00BD09C2" w:rsidP="00D816FF">
            <w:pPr>
              <w:jc w:val="center"/>
              <w:rPr>
                <w:rFonts w:cs="Arial"/>
              </w:rPr>
            </w:pPr>
          </w:p>
          <w:p w:rsidR="00BD09C2" w:rsidRPr="00970708" w:rsidRDefault="00BD09C2" w:rsidP="00D816FF">
            <w:pPr>
              <w:jc w:val="center"/>
              <w:rPr>
                <w:rFonts w:cs="Arial"/>
              </w:rPr>
            </w:pPr>
          </w:p>
        </w:tc>
        <w:tc>
          <w:tcPr>
            <w:tcW w:w="1135" w:type="dxa"/>
            <w:tcBorders>
              <w:top w:val="single" w:sz="4" w:space="0" w:color="auto"/>
              <w:left w:val="single" w:sz="4" w:space="0" w:color="auto"/>
              <w:bottom w:val="single" w:sz="4" w:space="0" w:color="auto"/>
              <w:right w:val="single" w:sz="4" w:space="0" w:color="auto"/>
            </w:tcBorders>
          </w:tcPr>
          <w:p w:rsidR="00BD09C2" w:rsidRDefault="00936E99" w:rsidP="00FF4A13">
            <w:pPr>
              <w:tabs>
                <w:tab w:val="num" w:pos="1671"/>
              </w:tabs>
              <w:jc w:val="center"/>
              <w:rPr>
                <w:rFonts w:cs="Arial"/>
              </w:rPr>
            </w:pPr>
            <w:r w:rsidRPr="00970708">
              <w:rPr>
                <w:rFonts w:cs="Arial"/>
              </w:rPr>
              <w:t>1,2</w:t>
            </w:r>
          </w:p>
          <w:p w:rsidR="00141AAC" w:rsidRDefault="00141AAC" w:rsidP="00FF4A13">
            <w:pPr>
              <w:tabs>
                <w:tab w:val="num" w:pos="1671"/>
              </w:tabs>
              <w:jc w:val="center"/>
              <w:rPr>
                <w:rFonts w:cs="Arial"/>
              </w:rPr>
            </w:pPr>
          </w:p>
          <w:p w:rsidR="00141AAC" w:rsidRDefault="00141AAC" w:rsidP="00FF4A13">
            <w:pPr>
              <w:tabs>
                <w:tab w:val="num" w:pos="1671"/>
              </w:tabs>
              <w:jc w:val="center"/>
              <w:rPr>
                <w:rFonts w:cs="Arial"/>
              </w:rPr>
            </w:pPr>
          </w:p>
          <w:p w:rsidR="00141AAC" w:rsidRDefault="00141AAC" w:rsidP="00FF4A13">
            <w:pPr>
              <w:tabs>
                <w:tab w:val="num" w:pos="1671"/>
              </w:tabs>
              <w:jc w:val="center"/>
              <w:rPr>
                <w:rFonts w:cs="Arial"/>
              </w:rPr>
            </w:pPr>
          </w:p>
          <w:p w:rsidR="00141AAC" w:rsidRDefault="00141AAC" w:rsidP="00FF4A13">
            <w:pPr>
              <w:tabs>
                <w:tab w:val="num" w:pos="1671"/>
              </w:tabs>
              <w:jc w:val="center"/>
              <w:rPr>
                <w:rFonts w:cs="Arial"/>
              </w:rPr>
            </w:pPr>
          </w:p>
          <w:p w:rsidR="00141AAC" w:rsidRDefault="00141AAC" w:rsidP="00FF4A13">
            <w:pPr>
              <w:tabs>
                <w:tab w:val="num" w:pos="1671"/>
              </w:tabs>
              <w:jc w:val="center"/>
              <w:rPr>
                <w:rFonts w:cs="Arial"/>
              </w:rPr>
            </w:pPr>
          </w:p>
          <w:p w:rsidR="00141AAC" w:rsidRDefault="00141AAC" w:rsidP="00FF4A13">
            <w:pPr>
              <w:tabs>
                <w:tab w:val="num" w:pos="1671"/>
              </w:tabs>
              <w:jc w:val="center"/>
              <w:rPr>
                <w:rFonts w:cs="Arial"/>
              </w:rPr>
            </w:pPr>
          </w:p>
          <w:p w:rsidR="00141AAC" w:rsidRDefault="00141AAC" w:rsidP="00FF4A13">
            <w:pPr>
              <w:tabs>
                <w:tab w:val="num" w:pos="1671"/>
              </w:tabs>
              <w:jc w:val="center"/>
              <w:rPr>
                <w:rFonts w:cs="Arial"/>
              </w:rPr>
            </w:pPr>
          </w:p>
          <w:p w:rsidR="00141AAC" w:rsidRDefault="00141AAC" w:rsidP="00FF4A13">
            <w:pPr>
              <w:tabs>
                <w:tab w:val="num" w:pos="1671"/>
              </w:tabs>
              <w:jc w:val="center"/>
              <w:rPr>
                <w:rFonts w:cs="Arial"/>
              </w:rPr>
            </w:pPr>
          </w:p>
          <w:p w:rsidR="00141AAC" w:rsidRDefault="00141AAC" w:rsidP="00FF4A13">
            <w:pPr>
              <w:tabs>
                <w:tab w:val="num" w:pos="1671"/>
              </w:tabs>
              <w:jc w:val="center"/>
              <w:rPr>
                <w:rFonts w:cs="Arial"/>
              </w:rPr>
            </w:pPr>
          </w:p>
          <w:p w:rsidR="00141AAC" w:rsidRDefault="00141AAC" w:rsidP="00FF4A13">
            <w:pPr>
              <w:tabs>
                <w:tab w:val="num" w:pos="1671"/>
              </w:tabs>
              <w:jc w:val="center"/>
              <w:rPr>
                <w:rFonts w:cs="Arial"/>
              </w:rPr>
            </w:pPr>
          </w:p>
          <w:p w:rsidR="00141AAC" w:rsidRPr="00970708" w:rsidRDefault="00141AAC" w:rsidP="00FF4A13">
            <w:pPr>
              <w:tabs>
                <w:tab w:val="num" w:pos="1671"/>
              </w:tabs>
              <w:jc w:val="center"/>
              <w:rPr>
                <w:rFonts w:cs="Arial"/>
              </w:rPr>
            </w:pPr>
            <w:r w:rsidRPr="00970708">
              <w:rPr>
                <w:rFonts w:cs="Arial"/>
              </w:rPr>
              <w:t>1,2</w:t>
            </w:r>
          </w:p>
        </w:tc>
      </w:tr>
    </w:tbl>
    <w:p w:rsidR="00EE5CEF" w:rsidRDefault="00EE5CEF" w:rsidP="00E77FE1">
      <w:pPr>
        <w:pStyle w:val="ListParagraph"/>
        <w:tabs>
          <w:tab w:val="left" w:pos="8222"/>
        </w:tabs>
        <w:ind w:left="851"/>
        <w:rPr>
          <w:rFonts w:cs="Arial"/>
          <w:b/>
          <w:sz w:val="16"/>
          <w:szCs w:val="16"/>
        </w:rPr>
      </w:pPr>
    </w:p>
    <w:p w:rsidR="00E77FE1" w:rsidRPr="00287DBC" w:rsidRDefault="00E77FE1" w:rsidP="00E77FE1">
      <w:pPr>
        <w:rPr>
          <w:rFonts w:cs="Arial"/>
          <w:b/>
        </w:rPr>
      </w:pPr>
      <w:r>
        <w:rPr>
          <w:rFonts w:cs="Arial"/>
          <w:b/>
        </w:rPr>
        <w:t>1</w:t>
      </w:r>
      <w:r>
        <w:rPr>
          <w:rFonts w:cs="Arial"/>
          <w:b/>
        </w:rPr>
        <w:tab/>
      </w:r>
      <w:r w:rsidRPr="00287DBC">
        <w:rPr>
          <w:rFonts w:cs="Arial"/>
          <w:b/>
        </w:rPr>
        <w:t>Family focused inclusion strategy</w:t>
      </w:r>
      <w:r w:rsidRPr="00287DBC">
        <w:rPr>
          <w:rFonts w:cs="Arial"/>
          <w:b/>
        </w:rPr>
        <w:tab/>
      </w:r>
      <w:r w:rsidRPr="00287DBC">
        <w:rPr>
          <w:rFonts w:cs="Arial"/>
          <w:b/>
        </w:rPr>
        <w:tab/>
      </w:r>
      <w:r w:rsidRPr="00287DBC">
        <w:rPr>
          <w:rFonts w:cs="Arial"/>
          <w:b/>
        </w:rPr>
        <w:tab/>
      </w:r>
      <w:r w:rsidRPr="00287DBC">
        <w:rPr>
          <w:rFonts w:cs="Arial"/>
          <w:b/>
        </w:rPr>
        <w:tab/>
      </w:r>
      <w:r w:rsidRPr="00287DBC">
        <w:rPr>
          <w:rFonts w:cs="Arial"/>
          <w:b/>
        </w:rPr>
        <w:tab/>
        <w:t>5</w:t>
      </w:r>
      <w:r w:rsidRPr="00287DBC">
        <w:rPr>
          <w:rFonts w:cs="Arial"/>
          <w:b/>
        </w:rPr>
        <w:tab/>
        <w:t>Tackling health inequalities</w:t>
      </w:r>
    </w:p>
    <w:p w:rsidR="00E77FE1" w:rsidRPr="00287DBC" w:rsidRDefault="00E77FE1" w:rsidP="00E77FE1">
      <w:pPr>
        <w:rPr>
          <w:rFonts w:cs="Arial"/>
          <w:b/>
        </w:rPr>
      </w:pPr>
      <w:r>
        <w:rPr>
          <w:rFonts w:cs="Arial"/>
          <w:b/>
        </w:rPr>
        <w:t>2</w:t>
      </w:r>
      <w:r>
        <w:rPr>
          <w:rFonts w:cs="Arial"/>
          <w:b/>
        </w:rPr>
        <w:tab/>
      </w:r>
      <w:r w:rsidRPr="00287DBC">
        <w:rPr>
          <w:rFonts w:cs="Arial"/>
          <w:b/>
        </w:rPr>
        <w:t>Supporting employment/childcare</w:t>
      </w:r>
      <w:r w:rsidRPr="00287DBC">
        <w:rPr>
          <w:rFonts w:cs="Arial"/>
          <w:b/>
        </w:rPr>
        <w:tab/>
      </w:r>
      <w:r w:rsidRPr="00287DBC">
        <w:rPr>
          <w:rFonts w:cs="Arial"/>
          <w:b/>
        </w:rPr>
        <w:tab/>
      </w:r>
      <w:r w:rsidRPr="00287DBC">
        <w:rPr>
          <w:rFonts w:cs="Arial"/>
          <w:b/>
        </w:rPr>
        <w:tab/>
      </w:r>
      <w:r w:rsidRPr="00287DBC">
        <w:rPr>
          <w:rFonts w:cs="Arial"/>
          <w:b/>
        </w:rPr>
        <w:tab/>
      </w:r>
      <w:r w:rsidRPr="00287DBC">
        <w:rPr>
          <w:rFonts w:cs="Arial"/>
          <w:b/>
        </w:rPr>
        <w:tab/>
        <w:t>6</w:t>
      </w:r>
      <w:r w:rsidRPr="00287DBC">
        <w:rPr>
          <w:rFonts w:cs="Arial"/>
          <w:b/>
        </w:rPr>
        <w:tab/>
        <w:t>Supporting safeguarding measures</w:t>
      </w:r>
    </w:p>
    <w:p w:rsidR="00E77FE1" w:rsidRPr="00287DBC" w:rsidRDefault="00E77FE1" w:rsidP="00E77FE1">
      <w:pPr>
        <w:rPr>
          <w:rFonts w:cs="Arial"/>
          <w:b/>
        </w:rPr>
      </w:pPr>
      <w:r>
        <w:rPr>
          <w:rFonts w:cs="Arial"/>
          <w:b/>
        </w:rPr>
        <w:t>3</w:t>
      </w:r>
      <w:r>
        <w:rPr>
          <w:rFonts w:cs="Arial"/>
          <w:b/>
        </w:rPr>
        <w:tab/>
      </w:r>
      <w:r w:rsidRPr="00287DBC">
        <w:rPr>
          <w:rFonts w:cs="Arial"/>
          <w:b/>
        </w:rPr>
        <w:t>Improving housing quality</w:t>
      </w:r>
      <w:r w:rsidRPr="00287DBC">
        <w:rPr>
          <w:rFonts w:cs="Arial"/>
          <w:b/>
        </w:rPr>
        <w:tab/>
      </w:r>
      <w:r w:rsidRPr="00287DBC">
        <w:rPr>
          <w:rFonts w:cs="Arial"/>
          <w:b/>
        </w:rPr>
        <w:tab/>
      </w:r>
      <w:r w:rsidRPr="00287DBC">
        <w:rPr>
          <w:rFonts w:cs="Arial"/>
          <w:b/>
        </w:rPr>
        <w:tab/>
      </w:r>
      <w:r w:rsidRPr="00287DBC">
        <w:rPr>
          <w:rFonts w:cs="Arial"/>
          <w:b/>
        </w:rPr>
        <w:tab/>
      </w:r>
      <w:r w:rsidRPr="00287DBC">
        <w:rPr>
          <w:rFonts w:cs="Arial"/>
          <w:b/>
        </w:rPr>
        <w:tab/>
      </w:r>
      <w:r w:rsidRPr="00287DBC">
        <w:rPr>
          <w:rFonts w:cs="Arial"/>
          <w:b/>
        </w:rPr>
        <w:tab/>
        <w:t>7</w:t>
      </w:r>
      <w:r w:rsidRPr="00287DBC">
        <w:rPr>
          <w:rFonts w:cs="Arial"/>
          <w:b/>
        </w:rPr>
        <w:tab/>
        <w:t>Improving local environment</w:t>
      </w:r>
    </w:p>
    <w:p w:rsidR="00E77FE1" w:rsidRPr="00287DBC" w:rsidRDefault="00E77FE1" w:rsidP="00E77FE1">
      <w:pPr>
        <w:rPr>
          <w:rFonts w:cs="Arial"/>
          <w:b/>
        </w:rPr>
      </w:pPr>
      <w:r>
        <w:rPr>
          <w:rFonts w:cs="Arial"/>
          <w:b/>
        </w:rPr>
        <w:t>4</w:t>
      </w:r>
      <w:r>
        <w:rPr>
          <w:rFonts w:cs="Arial"/>
          <w:b/>
        </w:rPr>
        <w:tab/>
      </w:r>
      <w:r w:rsidRPr="00287DBC">
        <w:rPr>
          <w:rFonts w:cs="Arial"/>
          <w:b/>
        </w:rPr>
        <w:t>Supporting education, skills, development – young people</w:t>
      </w:r>
    </w:p>
    <w:p w:rsidR="00E77FE1" w:rsidRPr="000B6899" w:rsidRDefault="00E77FE1" w:rsidP="00E77FE1">
      <w:pPr>
        <w:pStyle w:val="ListParagraph"/>
        <w:tabs>
          <w:tab w:val="left" w:pos="8222"/>
        </w:tabs>
        <w:ind w:left="851"/>
        <w:rPr>
          <w:rFonts w:cs="Arial"/>
          <w:b/>
          <w:sz w:val="16"/>
          <w:szCs w:val="16"/>
        </w:rPr>
      </w:pPr>
    </w:p>
    <w:sectPr w:rsidR="00E77FE1" w:rsidRPr="000B6899" w:rsidSect="001338F3">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80" w:rsidRDefault="00944F80" w:rsidP="00FA10A6">
      <w:r>
        <w:separator/>
      </w:r>
    </w:p>
  </w:endnote>
  <w:endnote w:type="continuationSeparator" w:id="0">
    <w:p w:rsidR="00944F80" w:rsidRDefault="00944F80" w:rsidP="00FA10A6">
      <w:r>
        <w:continuationSeparator/>
      </w:r>
    </w:p>
  </w:endnote>
  <w:endnote w:type="continuationNotice" w:id="1">
    <w:p w:rsidR="00CE501C" w:rsidRDefault="00CE5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8C" w:rsidRDefault="00804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8C" w:rsidRDefault="008043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8C" w:rsidRDefault="008043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80" w:rsidRDefault="00C80817" w:rsidP="001338F3">
    <w:pPr>
      <w:pStyle w:val="Footer"/>
      <w:framePr w:wrap="around" w:vAnchor="text" w:hAnchor="margin" w:xAlign="center" w:y="1"/>
      <w:rPr>
        <w:rStyle w:val="PageNumber"/>
      </w:rPr>
    </w:pPr>
    <w:r>
      <w:rPr>
        <w:rStyle w:val="PageNumber"/>
      </w:rPr>
      <w:fldChar w:fldCharType="begin"/>
    </w:r>
    <w:r w:rsidR="00944F80">
      <w:rPr>
        <w:rStyle w:val="PageNumber"/>
      </w:rPr>
      <w:instrText xml:space="preserve">PAGE  </w:instrText>
    </w:r>
    <w:r>
      <w:rPr>
        <w:rStyle w:val="PageNumber"/>
      </w:rPr>
      <w:fldChar w:fldCharType="end"/>
    </w:r>
  </w:p>
  <w:p w:rsidR="00944F80" w:rsidRDefault="00944F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80" w:rsidRPr="00ED3EFC" w:rsidRDefault="00C80817" w:rsidP="001338F3">
    <w:pPr>
      <w:pStyle w:val="Footer"/>
      <w:framePr w:wrap="around" w:vAnchor="text" w:hAnchor="margin" w:xAlign="center" w:y="1"/>
      <w:rPr>
        <w:rStyle w:val="PageNumber"/>
        <w:rFonts w:ascii="Arial" w:hAnsi="Arial" w:cs="Arial"/>
        <w:sz w:val="22"/>
        <w:szCs w:val="22"/>
      </w:rPr>
    </w:pPr>
    <w:r w:rsidRPr="00ED3EFC">
      <w:rPr>
        <w:rStyle w:val="PageNumber"/>
        <w:rFonts w:ascii="Arial" w:hAnsi="Arial" w:cs="Arial"/>
        <w:sz w:val="22"/>
        <w:szCs w:val="22"/>
      </w:rPr>
      <w:fldChar w:fldCharType="begin"/>
    </w:r>
    <w:r w:rsidR="00944F80" w:rsidRPr="00ED3EFC">
      <w:rPr>
        <w:rStyle w:val="PageNumber"/>
        <w:rFonts w:ascii="Arial" w:hAnsi="Arial" w:cs="Arial"/>
        <w:sz w:val="22"/>
        <w:szCs w:val="22"/>
      </w:rPr>
      <w:instrText xml:space="preserve">PAGE  </w:instrText>
    </w:r>
    <w:r w:rsidRPr="00ED3EFC">
      <w:rPr>
        <w:rStyle w:val="PageNumber"/>
        <w:rFonts w:ascii="Arial" w:hAnsi="Arial" w:cs="Arial"/>
        <w:sz w:val="22"/>
        <w:szCs w:val="22"/>
      </w:rPr>
      <w:fldChar w:fldCharType="separate"/>
    </w:r>
    <w:r w:rsidR="0025084B">
      <w:rPr>
        <w:rStyle w:val="PageNumber"/>
        <w:rFonts w:ascii="Arial" w:hAnsi="Arial" w:cs="Arial"/>
        <w:noProof/>
        <w:sz w:val="22"/>
        <w:szCs w:val="22"/>
      </w:rPr>
      <w:t>5</w:t>
    </w:r>
    <w:r w:rsidRPr="00ED3EFC">
      <w:rPr>
        <w:rStyle w:val="PageNumber"/>
        <w:rFonts w:ascii="Arial" w:hAnsi="Arial" w:cs="Arial"/>
        <w:sz w:val="22"/>
        <w:szCs w:val="22"/>
      </w:rPr>
      <w:fldChar w:fldCharType="end"/>
    </w:r>
  </w:p>
  <w:p w:rsidR="00944F80" w:rsidRPr="002E0D59" w:rsidRDefault="00944F80">
    <w:pPr>
      <w:pStyle w:val="Footer"/>
      <w:rPr>
        <w:rFonts w:ascii="Arial" w:hAnsi="Arial" w:cs="Arial"/>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80" w:rsidRDefault="00944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80" w:rsidRDefault="00944F80" w:rsidP="00FA10A6">
      <w:r>
        <w:separator/>
      </w:r>
    </w:p>
  </w:footnote>
  <w:footnote w:type="continuationSeparator" w:id="0">
    <w:p w:rsidR="00944F80" w:rsidRDefault="00944F80" w:rsidP="00FA10A6">
      <w:r>
        <w:continuationSeparator/>
      </w:r>
    </w:p>
  </w:footnote>
  <w:footnote w:type="continuationNotice" w:id="1">
    <w:p w:rsidR="00CE501C" w:rsidRDefault="00CE50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8C" w:rsidRDefault="008043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8C" w:rsidRDefault="008043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8C" w:rsidRDefault="008043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80" w:rsidRDefault="00944F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80" w:rsidRPr="00EE5CEF" w:rsidRDefault="00944F80">
    <w:pPr>
      <w:pStyle w:val="Header"/>
      <w:rPr>
        <w:rFonts w:ascii="Arial" w:hAnsi="Arial"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80" w:rsidRDefault="00944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9E90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01BFB"/>
    <w:multiLevelType w:val="hybridMultilevel"/>
    <w:tmpl w:val="D8BA0CEC"/>
    <w:lvl w:ilvl="0" w:tplc="176873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43A6E"/>
    <w:multiLevelType w:val="multilevel"/>
    <w:tmpl w:val="7464C106"/>
    <w:styleLink w:val="StyleNumbered1"/>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374355E"/>
    <w:multiLevelType w:val="hybridMultilevel"/>
    <w:tmpl w:val="E36E91E8"/>
    <w:lvl w:ilvl="0" w:tplc="07E8C4AC">
      <w:start w:val="1"/>
      <w:numFmt w:val="bullet"/>
      <w:lvlText w:val=""/>
      <w:lvlJc w:val="left"/>
      <w:pPr>
        <w:tabs>
          <w:tab w:val="num" w:pos="720"/>
        </w:tabs>
        <w:ind w:left="720" w:hanging="360"/>
      </w:pPr>
      <w:rPr>
        <w:rFonts w:ascii="Symbol" w:hAnsi="Symbol" w:hint="default"/>
        <w:b w:val="0"/>
        <w:i w:val="0"/>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81F4B"/>
    <w:multiLevelType w:val="hybridMultilevel"/>
    <w:tmpl w:val="5456E614"/>
    <w:lvl w:ilvl="0" w:tplc="7BD4EA0C">
      <w:start w:val="7"/>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08A30553"/>
    <w:multiLevelType w:val="hybridMultilevel"/>
    <w:tmpl w:val="0780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C5D1D"/>
    <w:multiLevelType w:val="hybridMultilevel"/>
    <w:tmpl w:val="83BC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620FF"/>
    <w:multiLevelType w:val="hybridMultilevel"/>
    <w:tmpl w:val="E7A073C4"/>
    <w:lvl w:ilvl="0" w:tplc="983CAA0A">
      <w:start w:val="1"/>
      <w:numFmt w:val="decimal"/>
      <w:lvlText w:val="%1"/>
      <w:lvlJc w:val="left"/>
      <w:pPr>
        <w:ind w:left="1800" w:hanging="14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7F2F8A"/>
    <w:multiLevelType w:val="hybridMultilevel"/>
    <w:tmpl w:val="E54E657A"/>
    <w:lvl w:ilvl="0" w:tplc="0809000F">
      <w:start w:val="1"/>
      <w:numFmt w:val="decimal"/>
      <w:lvlText w:val="%1."/>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17863016"/>
    <w:multiLevelType w:val="hybridMultilevel"/>
    <w:tmpl w:val="E7A073C4"/>
    <w:lvl w:ilvl="0" w:tplc="983CAA0A">
      <w:start w:val="1"/>
      <w:numFmt w:val="decimal"/>
      <w:lvlText w:val="%1"/>
      <w:lvlJc w:val="left"/>
      <w:pPr>
        <w:ind w:left="1800" w:hanging="14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D259B"/>
    <w:multiLevelType w:val="hybridMultilevel"/>
    <w:tmpl w:val="6A2EE52A"/>
    <w:lvl w:ilvl="0" w:tplc="EB801D68">
      <w:start w:val="4"/>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 w15:restartNumberingAfterBreak="0">
    <w:nsid w:val="1D492112"/>
    <w:multiLevelType w:val="hybridMultilevel"/>
    <w:tmpl w:val="D92E64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E892FB1"/>
    <w:multiLevelType w:val="hybridMultilevel"/>
    <w:tmpl w:val="978A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F65B0"/>
    <w:multiLevelType w:val="hybridMultilevel"/>
    <w:tmpl w:val="E7A073C4"/>
    <w:lvl w:ilvl="0" w:tplc="983CAA0A">
      <w:start w:val="1"/>
      <w:numFmt w:val="decimal"/>
      <w:lvlText w:val="%1"/>
      <w:lvlJc w:val="left"/>
      <w:pPr>
        <w:ind w:left="1800" w:hanging="14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322B47"/>
    <w:multiLevelType w:val="hybridMultilevel"/>
    <w:tmpl w:val="FFDE9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87016"/>
    <w:multiLevelType w:val="hybridMultilevel"/>
    <w:tmpl w:val="7D2450BE"/>
    <w:lvl w:ilvl="0" w:tplc="FA008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9F14D3"/>
    <w:multiLevelType w:val="hybridMultilevel"/>
    <w:tmpl w:val="49824F8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23407DFC"/>
    <w:multiLevelType w:val="multilevel"/>
    <w:tmpl w:val="8AB4AB34"/>
    <w:styleLink w:val="StyleBulletedSymbolsymbolLeft05Hanging025"/>
    <w:lvl w:ilvl="0">
      <w:start w:val="1"/>
      <w:numFmt w:val="bullet"/>
      <w:lvlText w:val=""/>
      <w:lvlJc w:val="left"/>
      <w:pPr>
        <w:tabs>
          <w:tab w:val="num" w:pos="1080"/>
        </w:tabs>
        <w:ind w:left="1080" w:hanging="360"/>
      </w:pPr>
      <w:rPr>
        <w:rFonts w:ascii="Symbol" w:hAnsi="Symbol" w:hint="default"/>
        <w:sz w:val="24"/>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4B7459A"/>
    <w:multiLevelType w:val="hybridMultilevel"/>
    <w:tmpl w:val="5F4E9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623394"/>
    <w:multiLevelType w:val="hybridMultilevel"/>
    <w:tmpl w:val="BF96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3A550B"/>
    <w:multiLevelType w:val="hybridMultilevel"/>
    <w:tmpl w:val="5F4E9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DA7146"/>
    <w:multiLevelType w:val="hybridMultilevel"/>
    <w:tmpl w:val="419C7C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931213"/>
    <w:multiLevelType w:val="hybridMultilevel"/>
    <w:tmpl w:val="F3BC1FEA"/>
    <w:lvl w:ilvl="0" w:tplc="08090001">
      <w:start w:val="1"/>
      <w:numFmt w:val="bullet"/>
      <w:lvlText w:val=""/>
      <w:lvlJc w:val="left"/>
      <w:pPr>
        <w:ind w:left="1012" w:hanging="360"/>
      </w:pPr>
      <w:rPr>
        <w:rFonts w:ascii="Symbol" w:hAnsi="Symbol" w:hint="default"/>
      </w:rPr>
    </w:lvl>
    <w:lvl w:ilvl="1" w:tplc="08090003" w:tentative="1">
      <w:start w:val="1"/>
      <w:numFmt w:val="bullet"/>
      <w:lvlText w:val="o"/>
      <w:lvlJc w:val="left"/>
      <w:pPr>
        <w:ind w:left="1732" w:hanging="360"/>
      </w:pPr>
      <w:rPr>
        <w:rFonts w:ascii="Courier New" w:hAnsi="Courier New" w:cs="Courier New" w:hint="default"/>
      </w:rPr>
    </w:lvl>
    <w:lvl w:ilvl="2" w:tplc="08090005" w:tentative="1">
      <w:start w:val="1"/>
      <w:numFmt w:val="bullet"/>
      <w:lvlText w:val=""/>
      <w:lvlJc w:val="left"/>
      <w:pPr>
        <w:ind w:left="2452" w:hanging="360"/>
      </w:pPr>
      <w:rPr>
        <w:rFonts w:ascii="Wingdings" w:hAnsi="Wingdings" w:hint="default"/>
      </w:rPr>
    </w:lvl>
    <w:lvl w:ilvl="3" w:tplc="08090001" w:tentative="1">
      <w:start w:val="1"/>
      <w:numFmt w:val="bullet"/>
      <w:lvlText w:val=""/>
      <w:lvlJc w:val="left"/>
      <w:pPr>
        <w:ind w:left="3172" w:hanging="360"/>
      </w:pPr>
      <w:rPr>
        <w:rFonts w:ascii="Symbol" w:hAnsi="Symbol" w:hint="default"/>
      </w:rPr>
    </w:lvl>
    <w:lvl w:ilvl="4" w:tplc="08090003" w:tentative="1">
      <w:start w:val="1"/>
      <w:numFmt w:val="bullet"/>
      <w:lvlText w:val="o"/>
      <w:lvlJc w:val="left"/>
      <w:pPr>
        <w:ind w:left="3892" w:hanging="360"/>
      </w:pPr>
      <w:rPr>
        <w:rFonts w:ascii="Courier New" w:hAnsi="Courier New" w:cs="Courier New" w:hint="default"/>
      </w:rPr>
    </w:lvl>
    <w:lvl w:ilvl="5" w:tplc="08090005" w:tentative="1">
      <w:start w:val="1"/>
      <w:numFmt w:val="bullet"/>
      <w:lvlText w:val=""/>
      <w:lvlJc w:val="left"/>
      <w:pPr>
        <w:ind w:left="4612" w:hanging="360"/>
      </w:pPr>
      <w:rPr>
        <w:rFonts w:ascii="Wingdings" w:hAnsi="Wingdings" w:hint="default"/>
      </w:rPr>
    </w:lvl>
    <w:lvl w:ilvl="6" w:tplc="08090001" w:tentative="1">
      <w:start w:val="1"/>
      <w:numFmt w:val="bullet"/>
      <w:lvlText w:val=""/>
      <w:lvlJc w:val="left"/>
      <w:pPr>
        <w:ind w:left="5332" w:hanging="360"/>
      </w:pPr>
      <w:rPr>
        <w:rFonts w:ascii="Symbol" w:hAnsi="Symbol" w:hint="default"/>
      </w:rPr>
    </w:lvl>
    <w:lvl w:ilvl="7" w:tplc="08090003" w:tentative="1">
      <w:start w:val="1"/>
      <w:numFmt w:val="bullet"/>
      <w:lvlText w:val="o"/>
      <w:lvlJc w:val="left"/>
      <w:pPr>
        <w:ind w:left="6052" w:hanging="360"/>
      </w:pPr>
      <w:rPr>
        <w:rFonts w:ascii="Courier New" w:hAnsi="Courier New" w:cs="Courier New" w:hint="default"/>
      </w:rPr>
    </w:lvl>
    <w:lvl w:ilvl="8" w:tplc="08090005" w:tentative="1">
      <w:start w:val="1"/>
      <w:numFmt w:val="bullet"/>
      <w:lvlText w:val=""/>
      <w:lvlJc w:val="left"/>
      <w:pPr>
        <w:ind w:left="6772" w:hanging="360"/>
      </w:pPr>
      <w:rPr>
        <w:rFonts w:ascii="Wingdings" w:hAnsi="Wingdings" w:hint="default"/>
      </w:rPr>
    </w:lvl>
  </w:abstractNum>
  <w:abstractNum w:abstractNumId="23" w15:restartNumberingAfterBreak="0">
    <w:nsid w:val="30C07ECF"/>
    <w:multiLevelType w:val="hybridMultilevel"/>
    <w:tmpl w:val="0D28F7A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0A79A7"/>
    <w:multiLevelType w:val="hybridMultilevel"/>
    <w:tmpl w:val="BD10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D5064E"/>
    <w:multiLevelType w:val="hybridMultilevel"/>
    <w:tmpl w:val="0A6A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57839"/>
    <w:multiLevelType w:val="hybridMultilevel"/>
    <w:tmpl w:val="E75C4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E42CDA"/>
    <w:multiLevelType w:val="hybridMultilevel"/>
    <w:tmpl w:val="8EF0F38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0E7DEC"/>
    <w:multiLevelType w:val="hybridMultilevel"/>
    <w:tmpl w:val="4652147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480C454F"/>
    <w:multiLevelType w:val="hybridMultilevel"/>
    <w:tmpl w:val="5B5AE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FE0BA1"/>
    <w:multiLevelType w:val="multilevel"/>
    <w:tmpl w:val="08090023"/>
    <w:styleLink w:val="ArticleSection"/>
    <w:lvl w:ilvl="0">
      <w:start w:val="1"/>
      <w:numFmt w:val="lowerLetter"/>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49CB2B9E"/>
    <w:multiLevelType w:val="hybridMultilevel"/>
    <w:tmpl w:val="1284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F5151"/>
    <w:multiLevelType w:val="hybridMultilevel"/>
    <w:tmpl w:val="DDF6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FD2396"/>
    <w:multiLevelType w:val="hybridMultilevel"/>
    <w:tmpl w:val="C49A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B30E67"/>
    <w:multiLevelType w:val="hybridMultilevel"/>
    <w:tmpl w:val="9D7C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EE7148"/>
    <w:multiLevelType w:val="hybridMultilevel"/>
    <w:tmpl w:val="621C52F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65205A11"/>
    <w:multiLevelType w:val="hybridMultilevel"/>
    <w:tmpl w:val="0D9A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8A174E"/>
    <w:multiLevelType w:val="hybridMultilevel"/>
    <w:tmpl w:val="3F6ED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164E33"/>
    <w:multiLevelType w:val="hybridMultilevel"/>
    <w:tmpl w:val="59CE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F16A6A"/>
    <w:multiLevelType w:val="hybridMultilevel"/>
    <w:tmpl w:val="EC2E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D6830"/>
    <w:multiLevelType w:val="hybridMultilevel"/>
    <w:tmpl w:val="F884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81C77"/>
    <w:multiLevelType w:val="hybridMultilevel"/>
    <w:tmpl w:val="62A0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D6EB0"/>
    <w:multiLevelType w:val="hybridMultilevel"/>
    <w:tmpl w:val="3B381DD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43" w15:restartNumberingAfterBreak="0">
    <w:nsid w:val="758D04AD"/>
    <w:multiLevelType w:val="hybridMultilevel"/>
    <w:tmpl w:val="18329F5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4" w15:restartNumberingAfterBreak="0">
    <w:nsid w:val="75BA252D"/>
    <w:multiLevelType w:val="hybridMultilevel"/>
    <w:tmpl w:val="ABBE2A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8481E"/>
    <w:multiLevelType w:val="hybridMultilevel"/>
    <w:tmpl w:val="60BEBB80"/>
    <w:lvl w:ilvl="0" w:tplc="2B2EEBA2">
      <w:start w:val="5"/>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6" w15:restartNumberingAfterBreak="0">
    <w:nsid w:val="771D58D8"/>
    <w:multiLevelType w:val="hybridMultilevel"/>
    <w:tmpl w:val="7BB6582E"/>
    <w:lvl w:ilvl="0" w:tplc="0809000F">
      <w:start w:val="1"/>
      <w:numFmt w:val="decimal"/>
      <w:lvlText w:val="%1."/>
      <w:lvlJc w:val="left"/>
      <w:pPr>
        <w:ind w:left="1800" w:hanging="14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BE101C"/>
    <w:multiLevelType w:val="hybridMultilevel"/>
    <w:tmpl w:val="80A6C44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30"/>
  </w:num>
  <w:num w:numId="2">
    <w:abstractNumId w:val="0"/>
  </w:num>
  <w:num w:numId="3">
    <w:abstractNumId w:val="17"/>
  </w:num>
  <w:num w:numId="4">
    <w:abstractNumId w:val="2"/>
  </w:num>
  <w:num w:numId="5">
    <w:abstractNumId w:val="6"/>
  </w:num>
  <w:num w:numId="6">
    <w:abstractNumId w:val="33"/>
  </w:num>
  <w:num w:numId="7">
    <w:abstractNumId w:val="39"/>
  </w:num>
  <w:num w:numId="8">
    <w:abstractNumId w:val="24"/>
  </w:num>
  <w:num w:numId="9">
    <w:abstractNumId w:val="41"/>
  </w:num>
  <w:num w:numId="10">
    <w:abstractNumId w:val="32"/>
  </w:num>
  <w:num w:numId="11">
    <w:abstractNumId w:val="36"/>
  </w:num>
  <w:num w:numId="12">
    <w:abstractNumId w:val="43"/>
  </w:num>
  <w:num w:numId="13">
    <w:abstractNumId w:val="40"/>
  </w:num>
  <w:num w:numId="14">
    <w:abstractNumId w:val="12"/>
  </w:num>
  <w:num w:numId="15">
    <w:abstractNumId w:val="47"/>
  </w:num>
  <w:num w:numId="16">
    <w:abstractNumId w:val="42"/>
  </w:num>
  <w:num w:numId="17">
    <w:abstractNumId w:val="16"/>
  </w:num>
  <w:num w:numId="18">
    <w:abstractNumId w:val="44"/>
  </w:num>
  <w:num w:numId="19">
    <w:abstractNumId w:val="3"/>
  </w:num>
  <w:num w:numId="20">
    <w:abstractNumId w:val="14"/>
  </w:num>
  <w:num w:numId="21">
    <w:abstractNumId w:val="26"/>
  </w:num>
  <w:num w:numId="22">
    <w:abstractNumId w:val="29"/>
  </w:num>
  <w:num w:numId="23">
    <w:abstractNumId w:val="25"/>
  </w:num>
  <w:num w:numId="24">
    <w:abstractNumId w:val="19"/>
  </w:num>
  <w:num w:numId="25">
    <w:abstractNumId w:val="34"/>
  </w:num>
  <w:num w:numId="26">
    <w:abstractNumId w:val="8"/>
  </w:num>
  <w:num w:numId="27">
    <w:abstractNumId w:val="28"/>
  </w:num>
  <w:num w:numId="28">
    <w:abstractNumId w:val="20"/>
  </w:num>
  <w:num w:numId="29">
    <w:abstractNumId w:val="0"/>
  </w:num>
  <w:num w:numId="30">
    <w:abstractNumId w:val="13"/>
  </w:num>
  <w:num w:numId="31">
    <w:abstractNumId w:val="9"/>
  </w:num>
  <w:num w:numId="32">
    <w:abstractNumId w:val="46"/>
  </w:num>
  <w:num w:numId="33">
    <w:abstractNumId w:val="7"/>
  </w:num>
  <w:num w:numId="34">
    <w:abstractNumId w:val="18"/>
  </w:num>
  <w:num w:numId="35">
    <w:abstractNumId w:val="10"/>
  </w:num>
  <w:num w:numId="36">
    <w:abstractNumId w:val="4"/>
  </w:num>
  <w:num w:numId="37">
    <w:abstractNumId w:val="31"/>
  </w:num>
  <w:num w:numId="38">
    <w:abstractNumId w:val="45"/>
  </w:num>
  <w:num w:numId="39">
    <w:abstractNumId w:val="21"/>
  </w:num>
  <w:num w:numId="40">
    <w:abstractNumId w:val="35"/>
  </w:num>
  <w:num w:numId="41">
    <w:abstractNumId w:val="1"/>
  </w:num>
  <w:num w:numId="42">
    <w:abstractNumId w:val="37"/>
  </w:num>
  <w:num w:numId="43">
    <w:abstractNumId w:val="27"/>
  </w:num>
  <w:num w:numId="44">
    <w:abstractNumId w:val="23"/>
  </w:num>
  <w:num w:numId="45">
    <w:abstractNumId w:val="11"/>
  </w:num>
  <w:num w:numId="46">
    <w:abstractNumId w:val="22"/>
  </w:num>
  <w:num w:numId="47">
    <w:abstractNumId w:val="15"/>
  </w:num>
  <w:num w:numId="48">
    <w:abstractNumId w:val="5"/>
  </w:num>
  <w:num w:numId="49">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drawingGridHorizontalSpacing w:val="110"/>
  <w:displayHorizontalDrawingGridEvery w:val="2"/>
  <w:characterSpacingControl w:val="doNotCompress"/>
  <w:hdrShapeDefaults>
    <o:shapedefaults v:ext="edit" spidmax="153601"/>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382E02"/>
    <w:rsid w:val="00003376"/>
    <w:rsid w:val="00007AB2"/>
    <w:rsid w:val="00010461"/>
    <w:rsid w:val="0001185D"/>
    <w:rsid w:val="000118D0"/>
    <w:rsid w:val="000124A8"/>
    <w:rsid w:val="00014A5F"/>
    <w:rsid w:val="000202C8"/>
    <w:rsid w:val="0002332F"/>
    <w:rsid w:val="00023AD5"/>
    <w:rsid w:val="00026A76"/>
    <w:rsid w:val="000272DE"/>
    <w:rsid w:val="00030156"/>
    <w:rsid w:val="00033D23"/>
    <w:rsid w:val="00040C4A"/>
    <w:rsid w:val="00046932"/>
    <w:rsid w:val="00047FBB"/>
    <w:rsid w:val="00050982"/>
    <w:rsid w:val="00050FA8"/>
    <w:rsid w:val="00051F2A"/>
    <w:rsid w:val="000550C9"/>
    <w:rsid w:val="0005513E"/>
    <w:rsid w:val="000558AD"/>
    <w:rsid w:val="00056A8E"/>
    <w:rsid w:val="00064097"/>
    <w:rsid w:val="000664CD"/>
    <w:rsid w:val="000675EC"/>
    <w:rsid w:val="00070EAA"/>
    <w:rsid w:val="0007492B"/>
    <w:rsid w:val="00076A41"/>
    <w:rsid w:val="0008267C"/>
    <w:rsid w:val="000918D9"/>
    <w:rsid w:val="00097BA1"/>
    <w:rsid w:val="000A015D"/>
    <w:rsid w:val="000A08BA"/>
    <w:rsid w:val="000A11A3"/>
    <w:rsid w:val="000A2276"/>
    <w:rsid w:val="000A324F"/>
    <w:rsid w:val="000A413A"/>
    <w:rsid w:val="000B1AC3"/>
    <w:rsid w:val="000B2429"/>
    <w:rsid w:val="000B402E"/>
    <w:rsid w:val="000B5AE1"/>
    <w:rsid w:val="000B6899"/>
    <w:rsid w:val="000B70CA"/>
    <w:rsid w:val="000B78A3"/>
    <w:rsid w:val="000C2ED5"/>
    <w:rsid w:val="000C7142"/>
    <w:rsid w:val="000C7D43"/>
    <w:rsid w:val="000D0847"/>
    <w:rsid w:val="000D0945"/>
    <w:rsid w:val="000D1DB4"/>
    <w:rsid w:val="000D28D1"/>
    <w:rsid w:val="000D62D4"/>
    <w:rsid w:val="000D6A3E"/>
    <w:rsid w:val="000E0978"/>
    <w:rsid w:val="000E770B"/>
    <w:rsid w:val="000E7D99"/>
    <w:rsid w:val="000F5435"/>
    <w:rsid w:val="000F5E17"/>
    <w:rsid w:val="000F60E1"/>
    <w:rsid w:val="00100117"/>
    <w:rsid w:val="00102B8E"/>
    <w:rsid w:val="00102BF7"/>
    <w:rsid w:val="00106A1E"/>
    <w:rsid w:val="0011142F"/>
    <w:rsid w:val="001142EE"/>
    <w:rsid w:val="00116B85"/>
    <w:rsid w:val="00121508"/>
    <w:rsid w:val="0012461E"/>
    <w:rsid w:val="001246EE"/>
    <w:rsid w:val="00125CBD"/>
    <w:rsid w:val="00126E7F"/>
    <w:rsid w:val="00127B75"/>
    <w:rsid w:val="00131AFF"/>
    <w:rsid w:val="001338F3"/>
    <w:rsid w:val="00133AF8"/>
    <w:rsid w:val="00134856"/>
    <w:rsid w:val="00135685"/>
    <w:rsid w:val="0013627F"/>
    <w:rsid w:val="00137139"/>
    <w:rsid w:val="001375EA"/>
    <w:rsid w:val="00140736"/>
    <w:rsid w:val="00141AAC"/>
    <w:rsid w:val="00144A08"/>
    <w:rsid w:val="00145469"/>
    <w:rsid w:val="00147F7E"/>
    <w:rsid w:val="0015122B"/>
    <w:rsid w:val="001549EB"/>
    <w:rsid w:val="00154B7B"/>
    <w:rsid w:val="001550EB"/>
    <w:rsid w:val="00157F07"/>
    <w:rsid w:val="001636B9"/>
    <w:rsid w:val="00164F38"/>
    <w:rsid w:val="00167C68"/>
    <w:rsid w:val="001742DF"/>
    <w:rsid w:val="001751A0"/>
    <w:rsid w:val="001756C0"/>
    <w:rsid w:val="001904FD"/>
    <w:rsid w:val="001A4143"/>
    <w:rsid w:val="001A4867"/>
    <w:rsid w:val="001A502F"/>
    <w:rsid w:val="001A6902"/>
    <w:rsid w:val="001A6E6A"/>
    <w:rsid w:val="001A7F2C"/>
    <w:rsid w:val="001B3311"/>
    <w:rsid w:val="001B461B"/>
    <w:rsid w:val="001B4907"/>
    <w:rsid w:val="001B4C70"/>
    <w:rsid w:val="001B52F3"/>
    <w:rsid w:val="001B62C6"/>
    <w:rsid w:val="001C1211"/>
    <w:rsid w:val="001C5091"/>
    <w:rsid w:val="001C5447"/>
    <w:rsid w:val="001D0C4B"/>
    <w:rsid w:val="001D26AB"/>
    <w:rsid w:val="001D4F48"/>
    <w:rsid w:val="001D5986"/>
    <w:rsid w:val="001D7503"/>
    <w:rsid w:val="001E3102"/>
    <w:rsid w:val="001E3C70"/>
    <w:rsid w:val="001F50AC"/>
    <w:rsid w:val="00202F45"/>
    <w:rsid w:val="00203BD5"/>
    <w:rsid w:val="0020538B"/>
    <w:rsid w:val="00211D21"/>
    <w:rsid w:val="0021531E"/>
    <w:rsid w:val="0022029F"/>
    <w:rsid w:val="00221125"/>
    <w:rsid w:val="00223FBC"/>
    <w:rsid w:val="00227385"/>
    <w:rsid w:val="00232638"/>
    <w:rsid w:val="00232758"/>
    <w:rsid w:val="00233823"/>
    <w:rsid w:val="00233A87"/>
    <w:rsid w:val="00234992"/>
    <w:rsid w:val="002369B8"/>
    <w:rsid w:val="00240631"/>
    <w:rsid w:val="00240ABD"/>
    <w:rsid w:val="0025084B"/>
    <w:rsid w:val="00251A18"/>
    <w:rsid w:val="00251B95"/>
    <w:rsid w:val="00251FC7"/>
    <w:rsid w:val="00254A05"/>
    <w:rsid w:val="00262116"/>
    <w:rsid w:val="00276D14"/>
    <w:rsid w:val="00281826"/>
    <w:rsid w:val="00283578"/>
    <w:rsid w:val="0028472D"/>
    <w:rsid w:val="00285BF5"/>
    <w:rsid w:val="00286317"/>
    <w:rsid w:val="00287025"/>
    <w:rsid w:val="00287DBC"/>
    <w:rsid w:val="00290259"/>
    <w:rsid w:val="002969EA"/>
    <w:rsid w:val="002A0695"/>
    <w:rsid w:val="002A20C4"/>
    <w:rsid w:val="002A3887"/>
    <w:rsid w:val="002A7D3D"/>
    <w:rsid w:val="002B0A63"/>
    <w:rsid w:val="002B1C29"/>
    <w:rsid w:val="002B2A55"/>
    <w:rsid w:val="002B2DAD"/>
    <w:rsid w:val="002B3E47"/>
    <w:rsid w:val="002B4E5B"/>
    <w:rsid w:val="002B75AE"/>
    <w:rsid w:val="002C06E3"/>
    <w:rsid w:val="002C7441"/>
    <w:rsid w:val="002D0E70"/>
    <w:rsid w:val="002D2827"/>
    <w:rsid w:val="002E0D59"/>
    <w:rsid w:val="002E1125"/>
    <w:rsid w:val="002E2744"/>
    <w:rsid w:val="002F2225"/>
    <w:rsid w:val="002F2F08"/>
    <w:rsid w:val="00306243"/>
    <w:rsid w:val="003070DB"/>
    <w:rsid w:val="00307DAD"/>
    <w:rsid w:val="00307FEF"/>
    <w:rsid w:val="00315067"/>
    <w:rsid w:val="00316E8B"/>
    <w:rsid w:val="00322639"/>
    <w:rsid w:val="003236D2"/>
    <w:rsid w:val="00324C06"/>
    <w:rsid w:val="003370D9"/>
    <w:rsid w:val="00343064"/>
    <w:rsid w:val="0034345B"/>
    <w:rsid w:val="003472A8"/>
    <w:rsid w:val="00350519"/>
    <w:rsid w:val="003520E2"/>
    <w:rsid w:val="003569B4"/>
    <w:rsid w:val="00360DC4"/>
    <w:rsid w:val="00362E0F"/>
    <w:rsid w:val="00364C9A"/>
    <w:rsid w:val="00365827"/>
    <w:rsid w:val="00366FEC"/>
    <w:rsid w:val="00370DD3"/>
    <w:rsid w:val="00373CCB"/>
    <w:rsid w:val="003756C6"/>
    <w:rsid w:val="00375FAA"/>
    <w:rsid w:val="00380A28"/>
    <w:rsid w:val="0038160C"/>
    <w:rsid w:val="00382E02"/>
    <w:rsid w:val="00384B09"/>
    <w:rsid w:val="00384CF6"/>
    <w:rsid w:val="00385163"/>
    <w:rsid w:val="0038724A"/>
    <w:rsid w:val="003902FE"/>
    <w:rsid w:val="003926A8"/>
    <w:rsid w:val="003948C3"/>
    <w:rsid w:val="0039506C"/>
    <w:rsid w:val="00396670"/>
    <w:rsid w:val="003A4FBD"/>
    <w:rsid w:val="003B1778"/>
    <w:rsid w:val="003B51E0"/>
    <w:rsid w:val="003C7263"/>
    <w:rsid w:val="003C756D"/>
    <w:rsid w:val="003C7CE7"/>
    <w:rsid w:val="003D0BB1"/>
    <w:rsid w:val="003D1A10"/>
    <w:rsid w:val="003D7174"/>
    <w:rsid w:val="003E509B"/>
    <w:rsid w:val="003E7ACF"/>
    <w:rsid w:val="003F07FB"/>
    <w:rsid w:val="003F23CF"/>
    <w:rsid w:val="003F29F5"/>
    <w:rsid w:val="003F5B23"/>
    <w:rsid w:val="003F68D7"/>
    <w:rsid w:val="00401060"/>
    <w:rsid w:val="0040237E"/>
    <w:rsid w:val="004053E7"/>
    <w:rsid w:val="004139D9"/>
    <w:rsid w:val="00413B94"/>
    <w:rsid w:val="004213FD"/>
    <w:rsid w:val="0042395C"/>
    <w:rsid w:val="0042641A"/>
    <w:rsid w:val="00426432"/>
    <w:rsid w:val="00434681"/>
    <w:rsid w:val="004366F0"/>
    <w:rsid w:val="00436876"/>
    <w:rsid w:val="00441397"/>
    <w:rsid w:val="0044601E"/>
    <w:rsid w:val="00446B1F"/>
    <w:rsid w:val="0045061D"/>
    <w:rsid w:val="00454322"/>
    <w:rsid w:val="00457719"/>
    <w:rsid w:val="0045795B"/>
    <w:rsid w:val="00460E98"/>
    <w:rsid w:val="00461D00"/>
    <w:rsid w:val="00464D58"/>
    <w:rsid w:val="0046506E"/>
    <w:rsid w:val="00465F1F"/>
    <w:rsid w:val="00466989"/>
    <w:rsid w:val="00466C03"/>
    <w:rsid w:val="00467E78"/>
    <w:rsid w:val="00471D4D"/>
    <w:rsid w:val="00472E7D"/>
    <w:rsid w:val="00472FAA"/>
    <w:rsid w:val="00472FEB"/>
    <w:rsid w:val="004730E6"/>
    <w:rsid w:val="00475B71"/>
    <w:rsid w:val="00483AA1"/>
    <w:rsid w:val="00484721"/>
    <w:rsid w:val="004872F1"/>
    <w:rsid w:val="00487583"/>
    <w:rsid w:val="004875DE"/>
    <w:rsid w:val="004900D1"/>
    <w:rsid w:val="0049040A"/>
    <w:rsid w:val="00490E36"/>
    <w:rsid w:val="00492DEC"/>
    <w:rsid w:val="00496C59"/>
    <w:rsid w:val="004A14BD"/>
    <w:rsid w:val="004A173A"/>
    <w:rsid w:val="004A17B4"/>
    <w:rsid w:val="004A24E3"/>
    <w:rsid w:val="004A3FC8"/>
    <w:rsid w:val="004A57D7"/>
    <w:rsid w:val="004B22FD"/>
    <w:rsid w:val="004B5B6E"/>
    <w:rsid w:val="004C06EB"/>
    <w:rsid w:val="004C3667"/>
    <w:rsid w:val="004C5342"/>
    <w:rsid w:val="004C7CC8"/>
    <w:rsid w:val="004D0CD2"/>
    <w:rsid w:val="004D267B"/>
    <w:rsid w:val="004D4228"/>
    <w:rsid w:val="004D4F5D"/>
    <w:rsid w:val="004E0658"/>
    <w:rsid w:val="004E611C"/>
    <w:rsid w:val="004E62E7"/>
    <w:rsid w:val="004E6DCA"/>
    <w:rsid w:val="004F2D97"/>
    <w:rsid w:val="004F40B2"/>
    <w:rsid w:val="004F4D28"/>
    <w:rsid w:val="004F61CB"/>
    <w:rsid w:val="004F6B0A"/>
    <w:rsid w:val="004F7D0F"/>
    <w:rsid w:val="00500F39"/>
    <w:rsid w:val="005014EE"/>
    <w:rsid w:val="00502397"/>
    <w:rsid w:val="005049F3"/>
    <w:rsid w:val="0050677D"/>
    <w:rsid w:val="005105D0"/>
    <w:rsid w:val="005135DC"/>
    <w:rsid w:val="0051785D"/>
    <w:rsid w:val="00521096"/>
    <w:rsid w:val="00521C50"/>
    <w:rsid w:val="00523D6D"/>
    <w:rsid w:val="00523E76"/>
    <w:rsid w:val="00524314"/>
    <w:rsid w:val="0052594C"/>
    <w:rsid w:val="00530847"/>
    <w:rsid w:val="00530B1F"/>
    <w:rsid w:val="005326F9"/>
    <w:rsid w:val="005336DA"/>
    <w:rsid w:val="00533BE0"/>
    <w:rsid w:val="005353DC"/>
    <w:rsid w:val="00535AE9"/>
    <w:rsid w:val="005402CF"/>
    <w:rsid w:val="0054062B"/>
    <w:rsid w:val="00541C46"/>
    <w:rsid w:val="00543348"/>
    <w:rsid w:val="00545FC1"/>
    <w:rsid w:val="005461C4"/>
    <w:rsid w:val="00550060"/>
    <w:rsid w:val="005503CF"/>
    <w:rsid w:val="0055284E"/>
    <w:rsid w:val="00557565"/>
    <w:rsid w:val="00560598"/>
    <w:rsid w:val="00560F4C"/>
    <w:rsid w:val="00563212"/>
    <w:rsid w:val="00563A28"/>
    <w:rsid w:val="00564F84"/>
    <w:rsid w:val="005666D9"/>
    <w:rsid w:val="005745DF"/>
    <w:rsid w:val="0058497B"/>
    <w:rsid w:val="005852C1"/>
    <w:rsid w:val="0058603E"/>
    <w:rsid w:val="00587363"/>
    <w:rsid w:val="00590165"/>
    <w:rsid w:val="0059087B"/>
    <w:rsid w:val="0059259E"/>
    <w:rsid w:val="00596943"/>
    <w:rsid w:val="005A63C8"/>
    <w:rsid w:val="005B6DB8"/>
    <w:rsid w:val="005B7241"/>
    <w:rsid w:val="005C5EDB"/>
    <w:rsid w:val="005D28CD"/>
    <w:rsid w:val="005D2AED"/>
    <w:rsid w:val="005D3BBB"/>
    <w:rsid w:val="005D3FD5"/>
    <w:rsid w:val="005E0E80"/>
    <w:rsid w:val="005E2599"/>
    <w:rsid w:val="005E6314"/>
    <w:rsid w:val="005E7C23"/>
    <w:rsid w:val="005F1E2B"/>
    <w:rsid w:val="00602D8C"/>
    <w:rsid w:val="00603035"/>
    <w:rsid w:val="0061266B"/>
    <w:rsid w:val="00617F9C"/>
    <w:rsid w:val="00620F72"/>
    <w:rsid w:val="00624EA2"/>
    <w:rsid w:val="00633D92"/>
    <w:rsid w:val="00637DDE"/>
    <w:rsid w:val="00641012"/>
    <w:rsid w:val="00642886"/>
    <w:rsid w:val="00647065"/>
    <w:rsid w:val="0064710A"/>
    <w:rsid w:val="00650B7D"/>
    <w:rsid w:val="006520A2"/>
    <w:rsid w:val="006579EE"/>
    <w:rsid w:val="00661376"/>
    <w:rsid w:val="00662369"/>
    <w:rsid w:val="006628E8"/>
    <w:rsid w:val="00664636"/>
    <w:rsid w:val="00665AFA"/>
    <w:rsid w:val="00666E5C"/>
    <w:rsid w:val="006730D9"/>
    <w:rsid w:val="006871D0"/>
    <w:rsid w:val="00693CF5"/>
    <w:rsid w:val="0069719A"/>
    <w:rsid w:val="006A1D9B"/>
    <w:rsid w:val="006A20F7"/>
    <w:rsid w:val="006A3923"/>
    <w:rsid w:val="006A40D1"/>
    <w:rsid w:val="006A63CD"/>
    <w:rsid w:val="006A7F18"/>
    <w:rsid w:val="006B527F"/>
    <w:rsid w:val="006B580C"/>
    <w:rsid w:val="006B763F"/>
    <w:rsid w:val="006C0F45"/>
    <w:rsid w:val="006C1FDC"/>
    <w:rsid w:val="006C7685"/>
    <w:rsid w:val="006E45B4"/>
    <w:rsid w:val="006E4E60"/>
    <w:rsid w:val="006E5FA5"/>
    <w:rsid w:val="006E63D7"/>
    <w:rsid w:val="006F03D2"/>
    <w:rsid w:val="006F2179"/>
    <w:rsid w:val="006F3469"/>
    <w:rsid w:val="00701B39"/>
    <w:rsid w:val="00704605"/>
    <w:rsid w:val="00711853"/>
    <w:rsid w:val="00712BB9"/>
    <w:rsid w:val="00713653"/>
    <w:rsid w:val="007204D8"/>
    <w:rsid w:val="00720D72"/>
    <w:rsid w:val="007215C7"/>
    <w:rsid w:val="0072163D"/>
    <w:rsid w:val="00723A87"/>
    <w:rsid w:val="0072532C"/>
    <w:rsid w:val="00734D6E"/>
    <w:rsid w:val="00740891"/>
    <w:rsid w:val="007433F7"/>
    <w:rsid w:val="00747A1A"/>
    <w:rsid w:val="00752690"/>
    <w:rsid w:val="00753801"/>
    <w:rsid w:val="00755BC0"/>
    <w:rsid w:val="00756555"/>
    <w:rsid w:val="007569E2"/>
    <w:rsid w:val="00757C29"/>
    <w:rsid w:val="007615B7"/>
    <w:rsid w:val="00764244"/>
    <w:rsid w:val="0076706C"/>
    <w:rsid w:val="00771927"/>
    <w:rsid w:val="00772053"/>
    <w:rsid w:val="00772EB9"/>
    <w:rsid w:val="00773970"/>
    <w:rsid w:val="00774367"/>
    <w:rsid w:val="00775A52"/>
    <w:rsid w:val="00781BCA"/>
    <w:rsid w:val="00787706"/>
    <w:rsid w:val="00787BFA"/>
    <w:rsid w:val="00791509"/>
    <w:rsid w:val="007A4770"/>
    <w:rsid w:val="007A7526"/>
    <w:rsid w:val="007B4647"/>
    <w:rsid w:val="007B6746"/>
    <w:rsid w:val="007B7F77"/>
    <w:rsid w:val="007D2CED"/>
    <w:rsid w:val="007D2DDB"/>
    <w:rsid w:val="007D2E88"/>
    <w:rsid w:val="007D54FF"/>
    <w:rsid w:val="007D5571"/>
    <w:rsid w:val="007D6BAA"/>
    <w:rsid w:val="007E035A"/>
    <w:rsid w:val="007E07F7"/>
    <w:rsid w:val="007E0838"/>
    <w:rsid w:val="007E2929"/>
    <w:rsid w:val="007E3802"/>
    <w:rsid w:val="007F0810"/>
    <w:rsid w:val="007F1B13"/>
    <w:rsid w:val="007F4558"/>
    <w:rsid w:val="00801A72"/>
    <w:rsid w:val="0080438C"/>
    <w:rsid w:val="00804CE1"/>
    <w:rsid w:val="008063A7"/>
    <w:rsid w:val="00806620"/>
    <w:rsid w:val="008118EA"/>
    <w:rsid w:val="00814E09"/>
    <w:rsid w:val="00816930"/>
    <w:rsid w:val="00816A87"/>
    <w:rsid w:val="00822BF1"/>
    <w:rsid w:val="0082379A"/>
    <w:rsid w:val="00824404"/>
    <w:rsid w:val="008248FA"/>
    <w:rsid w:val="008255A4"/>
    <w:rsid w:val="0083597B"/>
    <w:rsid w:val="00836191"/>
    <w:rsid w:val="008431AA"/>
    <w:rsid w:val="0084381F"/>
    <w:rsid w:val="00845498"/>
    <w:rsid w:val="00853478"/>
    <w:rsid w:val="00853C7D"/>
    <w:rsid w:val="00855B63"/>
    <w:rsid w:val="00857C54"/>
    <w:rsid w:val="0086086E"/>
    <w:rsid w:val="00860B31"/>
    <w:rsid w:val="00861A7C"/>
    <w:rsid w:val="0086496F"/>
    <w:rsid w:val="00864A99"/>
    <w:rsid w:val="00865F14"/>
    <w:rsid w:val="008667AA"/>
    <w:rsid w:val="0087185A"/>
    <w:rsid w:val="00871A29"/>
    <w:rsid w:val="008722EB"/>
    <w:rsid w:val="0087260B"/>
    <w:rsid w:val="00873559"/>
    <w:rsid w:val="00882BE6"/>
    <w:rsid w:val="00883594"/>
    <w:rsid w:val="0089259D"/>
    <w:rsid w:val="008970C7"/>
    <w:rsid w:val="008A2450"/>
    <w:rsid w:val="008A2BA2"/>
    <w:rsid w:val="008A2D18"/>
    <w:rsid w:val="008A472A"/>
    <w:rsid w:val="008A7432"/>
    <w:rsid w:val="008B2AE5"/>
    <w:rsid w:val="008B2BFE"/>
    <w:rsid w:val="008B45FE"/>
    <w:rsid w:val="008B5952"/>
    <w:rsid w:val="008C3BB0"/>
    <w:rsid w:val="008D1AE6"/>
    <w:rsid w:val="008D287F"/>
    <w:rsid w:val="008D6B68"/>
    <w:rsid w:val="008E0AD6"/>
    <w:rsid w:val="008E0DAF"/>
    <w:rsid w:val="008E16B0"/>
    <w:rsid w:val="008E2C32"/>
    <w:rsid w:val="008E625D"/>
    <w:rsid w:val="008E667D"/>
    <w:rsid w:val="008E67FB"/>
    <w:rsid w:val="008E75DC"/>
    <w:rsid w:val="008F161E"/>
    <w:rsid w:val="008F2FB1"/>
    <w:rsid w:val="008F4258"/>
    <w:rsid w:val="008F504C"/>
    <w:rsid w:val="009017E3"/>
    <w:rsid w:val="009055C5"/>
    <w:rsid w:val="00905F7A"/>
    <w:rsid w:val="00906DBE"/>
    <w:rsid w:val="00912512"/>
    <w:rsid w:val="0091284F"/>
    <w:rsid w:val="009132E5"/>
    <w:rsid w:val="00914621"/>
    <w:rsid w:val="00914A9C"/>
    <w:rsid w:val="00915E78"/>
    <w:rsid w:val="00925B32"/>
    <w:rsid w:val="0092772E"/>
    <w:rsid w:val="00930B11"/>
    <w:rsid w:val="00930D79"/>
    <w:rsid w:val="0093190A"/>
    <w:rsid w:val="0093204E"/>
    <w:rsid w:val="0093632E"/>
    <w:rsid w:val="00936E99"/>
    <w:rsid w:val="00937BAB"/>
    <w:rsid w:val="00942D2A"/>
    <w:rsid w:val="00944F80"/>
    <w:rsid w:val="00945D07"/>
    <w:rsid w:val="009475A7"/>
    <w:rsid w:val="00951D4A"/>
    <w:rsid w:val="00954697"/>
    <w:rsid w:val="0095730E"/>
    <w:rsid w:val="00964F34"/>
    <w:rsid w:val="00970708"/>
    <w:rsid w:val="00971EB1"/>
    <w:rsid w:val="0097367A"/>
    <w:rsid w:val="0097559E"/>
    <w:rsid w:val="00975B46"/>
    <w:rsid w:val="00975C11"/>
    <w:rsid w:val="00982D9D"/>
    <w:rsid w:val="00984FFA"/>
    <w:rsid w:val="0098728E"/>
    <w:rsid w:val="009874F4"/>
    <w:rsid w:val="00987977"/>
    <w:rsid w:val="009958CA"/>
    <w:rsid w:val="00996500"/>
    <w:rsid w:val="009970ED"/>
    <w:rsid w:val="009A688F"/>
    <w:rsid w:val="009B0E81"/>
    <w:rsid w:val="009B4452"/>
    <w:rsid w:val="009B7B86"/>
    <w:rsid w:val="009C46E8"/>
    <w:rsid w:val="009C5127"/>
    <w:rsid w:val="009C6256"/>
    <w:rsid w:val="009D1418"/>
    <w:rsid w:val="009D21F8"/>
    <w:rsid w:val="009D2F0C"/>
    <w:rsid w:val="009D376D"/>
    <w:rsid w:val="009D4579"/>
    <w:rsid w:val="009D49B7"/>
    <w:rsid w:val="009E00F6"/>
    <w:rsid w:val="009E0425"/>
    <w:rsid w:val="009E0995"/>
    <w:rsid w:val="009E116E"/>
    <w:rsid w:val="009E3001"/>
    <w:rsid w:val="009F2585"/>
    <w:rsid w:val="009F2A10"/>
    <w:rsid w:val="009F69C6"/>
    <w:rsid w:val="00A02386"/>
    <w:rsid w:val="00A07E0B"/>
    <w:rsid w:val="00A150B4"/>
    <w:rsid w:val="00A23000"/>
    <w:rsid w:val="00A3561E"/>
    <w:rsid w:val="00A448F7"/>
    <w:rsid w:val="00A51CF0"/>
    <w:rsid w:val="00A520D6"/>
    <w:rsid w:val="00A52235"/>
    <w:rsid w:val="00A522D3"/>
    <w:rsid w:val="00A52C60"/>
    <w:rsid w:val="00A570DF"/>
    <w:rsid w:val="00A6112E"/>
    <w:rsid w:val="00A627B4"/>
    <w:rsid w:val="00A6567F"/>
    <w:rsid w:val="00A656ED"/>
    <w:rsid w:val="00A7072F"/>
    <w:rsid w:val="00A710E6"/>
    <w:rsid w:val="00A71644"/>
    <w:rsid w:val="00A73355"/>
    <w:rsid w:val="00A82B5C"/>
    <w:rsid w:val="00A82CB7"/>
    <w:rsid w:val="00A82EA7"/>
    <w:rsid w:val="00A83348"/>
    <w:rsid w:val="00A83FE7"/>
    <w:rsid w:val="00A84CA2"/>
    <w:rsid w:val="00A90345"/>
    <w:rsid w:val="00A9374C"/>
    <w:rsid w:val="00A95179"/>
    <w:rsid w:val="00A9524C"/>
    <w:rsid w:val="00A9585F"/>
    <w:rsid w:val="00A9655E"/>
    <w:rsid w:val="00A9671C"/>
    <w:rsid w:val="00A97374"/>
    <w:rsid w:val="00AA3712"/>
    <w:rsid w:val="00AA4F17"/>
    <w:rsid w:val="00AA6CDC"/>
    <w:rsid w:val="00AB0EBB"/>
    <w:rsid w:val="00AB10C7"/>
    <w:rsid w:val="00AB210B"/>
    <w:rsid w:val="00AB4988"/>
    <w:rsid w:val="00AC32BD"/>
    <w:rsid w:val="00AC4C4F"/>
    <w:rsid w:val="00AC602E"/>
    <w:rsid w:val="00AC7ED3"/>
    <w:rsid w:val="00AD5A50"/>
    <w:rsid w:val="00AD68BC"/>
    <w:rsid w:val="00AE1345"/>
    <w:rsid w:val="00AE14D2"/>
    <w:rsid w:val="00AE3B04"/>
    <w:rsid w:val="00B00CD6"/>
    <w:rsid w:val="00B02DB6"/>
    <w:rsid w:val="00B038DD"/>
    <w:rsid w:val="00B050F8"/>
    <w:rsid w:val="00B11673"/>
    <w:rsid w:val="00B11CF7"/>
    <w:rsid w:val="00B12695"/>
    <w:rsid w:val="00B15A6A"/>
    <w:rsid w:val="00B200C5"/>
    <w:rsid w:val="00B20B19"/>
    <w:rsid w:val="00B226AB"/>
    <w:rsid w:val="00B22849"/>
    <w:rsid w:val="00B25332"/>
    <w:rsid w:val="00B2730C"/>
    <w:rsid w:val="00B309F1"/>
    <w:rsid w:val="00B31C45"/>
    <w:rsid w:val="00B35B61"/>
    <w:rsid w:val="00B4117A"/>
    <w:rsid w:val="00B41DA7"/>
    <w:rsid w:val="00B444E6"/>
    <w:rsid w:val="00B5198A"/>
    <w:rsid w:val="00B5604C"/>
    <w:rsid w:val="00B615A5"/>
    <w:rsid w:val="00B646B3"/>
    <w:rsid w:val="00B657E0"/>
    <w:rsid w:val="00B66487"/>
    <w:rsid w:val="00B71CC9"/>
    <w:rsid w:val="00B75203"/>
    <w:rsid w:val="00B80663"/>
    <w:rsid w:val="00B81BEB"/>
    <w:rsid w:val="00B847CF"/>
    <w:rsid w:val="00B849CC"/>
    <w:rsid w:val="00B87402"/>
    <w:rsid w:val="00B919D7"/>
    <w:rsid w:val="00B92B8A"/>
    <w:rsid w:val="00B97A52"/>
    <w:rsid w:val="00BA08B9"/>
    <w:rsid w:val="00BA2CA1"/>
    <w:rsid w:val="00BA2F14"/>
    <w:rsid w:val="00BA3075"/>
    <w:rsid w:val="00BA35A6"/>
    <w:rsid w:val="00BB1675"/>
    <w:rsid w:val="00BB3426"/>
    <w:rsid w:val="00BC2348"/>
    <w:rsid w:val="00BC38F9"/>
    <w:rsid w:val="00BC48D9"/>
    <w:rsid w:val="00BC5975"/>
    <w:rsid w:val="00BC5ECE"/>
    <w:rsid w:val="00BC5FB5"/>
    <w:rsid w:val="00BC69B3"/>
    <w:rsid w:val="00BC7CF6"/>
    <w:rsid w:val="00BD09C2"/>
    <w:rsid w:val="00BD2A05"/>
    <w:rsid w:val="00BD3AA9"/>
    <w:rsid w:val="00BD442D"/>
    <w:rsid w:val="00BE1B8D"/>
    <w:rsid w:val="00BE25D6"/>
    <w:rsid w:val="00BE7134"/>
    <w:rsid w:val="00BE756A"/>
    <w:rsid w:val="00BF2A38"/>
    <w:rsid w:val="00BF46A3"/>
    <w:rsid w:val="00C00A63"/>
    <w:rsid w:val="00C062DF"/>
    <w:rsid w:val="00C07B9C"/>
    <w:rsid w:val="00C104DC"/>
    <w:rsid w:val="00C1525E"/>
    <w:rsid w:val="00C161D8"/>
    <w:rsid w:val="00C161E0"/>
    <w:rsid w:val="00C263F9"/>
    <w:rsid w:val="00C26731"/>
    <w:rsid w:val="00C27888"/>
    <w:rsid w:val="00C30469"/>
    <w:rsid w:val="00C32C34"/>
    <w:rsid w:val="00C35532"/>
    <w:rsid w:val="00C41F47"/>
    <w:rsid w:val="00C500B9"/>
    <w:rsid w:val="00C50197"/>
    <w:rsid w:val="00C5067B"/>
    <w:rsid w:val="00C52AE8"/>
    <w:rsid w:val="00C54C85"/>
    <w:rsid w:val="00C54EA1"/>
    <w:rsid w:val="00C55B32"/>
    <w:rsid w:val="00C56E07"/>
    <w:rsid w:val="00C57541"/>
    <w:rsid w:val="00C57E01"/>
    <w:rsid w:val="00C64DBA"/>
    <w:rsid w:val="00C66EFF"/>
    <w:rsid w:val="00C67E20"/>
    <w:rsid w:val="00C67EFA"/>
    <w:rsid w:val="00C70A85"/>
    <w:rsid w:val="00C715D3"/>
    <w:rsid w:val="00C73796"/>
    <w:rsid w:val="00C806F9"/>
    <w:rsid w:val="00C80817"/>
    <w:rsid w:val="00C80F5A"/>
    <w:rsid w:val="00C849B9"/>
    <w:rsid w:val="00C8507B"/>
    <w:rsid w:val="00C904DA"/>
    <w:rsid w:val="00C91532"/>
    <w:rsid w:val="00C9381E"/>
    <w:rsid w:val="00C958B7"/>
    <w:rsid w:val="00C97726"/>
    <w:rsid w:val="00CA0967"/>
    <w:rsid w:val="00CA33DC"/>
    <w:rsid w:val="00CA3A7A"/>
    <w:rsid w:val="00CA3FDC"/>
    <w:rsid w:val="00CA5BDF"/>
    <w:rsid w:val="00CA7088"/>
    <w:rsid w:val="00CA70D4"/>
    <w:rsid w:val="00CB6973"/>
    <w:rsid w:val="00CB795B"/>
    <w:rsid w:val="00CC03A9"/>
    <w:rsid w:val="00CC2FF5"/>
    <w:rsid w:val="00CC3796"/>
    <w:rsid w:val="00CC46B5"/>
    <w:rsid w:val="00CC4C6D"/>
    <w:rsid w:val="00CC79AE"/>
    <w:rsid w:val="00CD2BAB"/>
    <w:rsid w:val="00CD394D"/>
    <w:rsid w:val="00CD60D8"/>
    <w:rsid w:val="00CD7FC8"/>
    <w:rsid w:val="00CE1119"/>
    <w:rsid w:val="00CE1D52"/>
    <w:rsid w:val="00CE2B1B"/>
    <w:rsid w:val="00CE501C"/>
    <w:rsid w:val="00CE508A"/>
    <w:rsid w:val="00CE67FA"/>
    <w:rsid w:val="00CF2611"/>
    <w:rsid w:val="00CF2C92"/>
    <w:rsid w:val="00CF547A"/>
    <w:rsid w:val="00D001FC"/>
    <w:rsid w:val="00D02A2E"/>
    <w:rsid w:val="00D0315A"/>
    <w:rsid w:val="00D055A0"/>
    <w:rsid w:val="00D0795E"/>
    <w:rsid w:val="00D11D5E"/>
    <w:rsid w:val="00D150E4"/>
    <w:rsid w:val="00D172F9"/>
    <w:rsid w:val="00D17605"/>
    <w:rsid w:val="00D17BDB"/>
    <w:rsid w:val="00D24D71"/>
    <w:rsid w:val="00D26B2E"/>
    <w:rsid w:val="00D36F45"/>
    <w:rsid w:val="00D427E1"/>
    <w:rsid w:val="00D54295"/>
    <w:rsid w:val="00D549A1"/>
    <w:rsid w:val="00D5530E"/>
    <w:rsid w:val="00D614A3"/>
    <w:rsid w:val="00D70E88"/>
    <w:rsid w:val="00D75094"/>
    <w:rsid w:val="00D754A4"/>
    <w:rsid w:val="00D77E72"/>
    <w:rsid w:val="00D816FF"/>
    <w:rsid w:val="00D84390"/>
    <w:rsid w:val="00D9240B"/>
    <w:rsid w:val="00D95CE1"/>
    <w:rsid w:val="00D97384"/>
    <w:rsid w:val="00DA3BDC"/>
    <w:rsid w:val="00DA6B15"/>
    <w:rsid w:val="00DB1552"/>
    <w:rsid w:val="00DC0B60"/>
    <w:rsid w:val="00DC10F5"/>
    <w:rsid w:val="00DC212A"/>
    <w:rsid w:val="00DC5544"/>
    <w:rsid w:val="00DC702E"/>
    <w:rsid w:val="00DC7B60"/>
    <w:rsid w:val="00DD171E"/>
    <w:rsid w:val="00DD6BAD"/>
    <w:rsid w:val="00DE18FE"/>
    <w:rsid w:val="00DE1DDD"/>
    <w:rsid w:val="00DF03A2"/>
    <w:rsid w:val="00DF22B2"/>
    <w:rsid w:val="00DF3DC1"/>
    <w:rsid w:val="00DF3E82"/>
    <w:rsid w:val="00DF44D6"/>
    <w:rsid w:val="00DF63C2"/>
    <w:rsid w:val="00E0312C"/>
    <w:rsid w:val="00E059A8"/>
    <w:rsid w:val="00E06DE1"/>
    <w:rsid w:val="00E07811"/>
    <w:rsid w:val="00E154A6"/>
    <w:rsid w:val="00E15A8F"/>
    <w:rsid w:val="00E173CD"/>
    <w:rsid w:val="00E2026B"/>
    <w:rsid w:val="00E30025"/>
    <w:rsid w:val="00E32286"/>
    <w:rsid w:val="00E37DA9"/>
    <w:rsid w:val="00E37E92"/>
    <w:rsid w:val="00E41B16"/>
    <w:rsid w:val="00E45E2F"/>
    <w:rsid w:val="00E50E08"/>
    <w:rsid w:val="00E50FEE"/>
    <w:rsid w:val="00E527B1"/>
    <w:rsid w:val="00E54EFA"/>
    <w:rsid w:val="00E619B2"/>
    <w:rsid w:val="00E61EF2"/>
    <w:rsid w:val="00E638AE"/>
    <w:rsid w:val="00E655E0"/>
    <w:rsid w:val="00E7120B"/>
    <w:rsid w:val="00E720F6"/>
    <w:rsid w:val="00E7674E"/>
    <w:rsid w:val="00E77FE1"/>
    <w:rsid w:val="00E807BA"/>
    <w:rsid w:val="00E8267E"/>
    <w:rsid w:val="00E84628"/>
    <w:rsid w:val="00E90A9B"/>
    <w:rsid w:val="00E92C9E"/>
    <w:rsid w:val="00E97C51"/>
    <w:rsid w:val="00EA384B"/>
    <w:rsid w:val="00EA4C40"/>
    <w:rsid w:val="00EA4EDD"/>
    <w:rsid w:val="00EA622F"/>
    <w:rsid w:val="00EB0C5B"/>
    <w:rsid w:val="00EB0E99"/>
    <w:rsid w:val="00EB5E46"/>
    <w:rsid w:val="00EC5143"/>
    <w:rsid w:val="00EC71B3"/>
    <w:rsid w:val="00ED1406"/>
    <w:rsid w:val="00ED1EFB"/>
    <w:rsid w:val="00ED3EFC"/>
    <w:rsid w:val="00ED54C3"/>
    <w:rsid w:val="00EE10A3"/>
    <w:rsid w:val="00EE1523"/>
    <w:rsid w:val="00EE5CAF"/>
    <w:rsid w:val="00EE5CEF"/>
    <w:rsid w:val="00EE699F"/>
    <w:rsid w:val="00EF1060"/>
    <w:rsid w:val="00EF25FF"/>
    <w:rsid w:val="00EF3B70"/>
    <w:rsid w:val="00EF3B87"/>
    <w:rsid w:val="00EF3FA1"/>
    <w:rsid w:val="00EF58A1"/>
    <w:rsid w:val="00F00905"/>
    <w:rsid w:val="00F01F00"/>
    <w:rsid w:val="00F02DE2"/>
    <w:rsid w:val="00F06083"/>
    <w:rsid w:val="00F06780"/>
    <w:rsid w:val="00F17E45"/>
    <w:rsid w:val="00F22BE2"/>
    <w:rsid w:val="00F305B4"/>
    <w:rsid w:val="00F332D7"/>
    <w:rsid w:val="00F3573F"/>
    <w:rsid w:val="00F36581"/>
    <w:rsid w:val="00F374D3"/>
    <w:rsid w:val="00F37843"/>
    <w:rsid w:val="00F37FF1"/>
    <w:rsid w:val="00F414D7"/>
    <w:rsid w:val="00F42E79"/>
    <w:rsid w:val="00F43568"/>
    <w:rsid w:val="00F448F6"/>
    <w:rsid w:val="00F61ED0"/>
    <w:rsid w:val="00F66FA2"/>
    <w:rsid w:val="00F672B5"/>
    <w:rsid w:val="00F673C6"/>
    <w:rsid w:val="00F72E03"/>
    <w:rsid w:val="00F83EC0"/>
    <w:rsid w:val="00F853EF"/>
    <w:rsid w:val="00F87231"/>
    <w:rsid w:val="00F93DB7"/>
    <w:rsid w:val="00F96D03"/>
    <w:rsid w:val="00F97F1C"/>
    <w:rsid w:val="00FA10A6"/>
    <w:rsid w:val="00FA3B2D"/>
    <w:rsid w:val="00FA5359"/>
    <w:rsid w:val="00FA59F7"/>
    <w:rsid w:val="00FB0A3F"/>
    <w:rsid w:val="00FB18C2"/>
    <w:rsid w:val="00FB278D"/>
    <w:rsid w:val="00FB5025"/>
    <w:rsid w:val="00FC20F5"/>
    <w:rsid w:val="00FC23EB"/>
    <w:rsid w:val="00FC404F"/>
    <w:rsid w:val="00FC41DE"/>
    <w:rsid w:val="00FC456F"/>
    <w:rsid w:val="00FC5060"/>
    <w:rsid w:val="00FC6AE2"/>
    <w:rsid w:val="00FC7069"/>
    <w:rsid w:val="00FD201C"/>
    <w:rsid w:val="00FD57AF"/>
    <w:rsid w:val="00FE21C8"/>
    <w:rsid w:val="00FE33E3"/>
    <w:rsid w:val="00FE3BFB"/>
    <w:rsid w:val="00FE747C"/>
    <w:rsid w:val="00FF22F2"/>
    <w:rsid w:val="00FF4A13"/>
    <w:rsid w:val="00FF4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5:docId w15:val="{E5D70F3A-24A6-4ED0-BB09-7A34CBD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85"/>
    <w:pPr>
      <w:ind w:firstLine="0"/>
    </w:pPr>
    <w:rPr>
      <w:rFonts w:ascii="Arial" w:hAnsi="Arial"/>
    </w:rPr>
  </w:style>
  <w:style w:type="paragraph" w:styleId="Heading1">
    <w:name w:val="heading 1"/>
    <w:basedOn w:val="Normal"/>
    <w:next w:val="Normal"/>
    <w:link w:val="Heading1Char"/>
    <w:uiPriority w:val="9"/>
    <w:qFormat/>
    <w:rsid w:val="0050677D"/>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50677D"/>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50677D"/>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50677D"/>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50677D"/>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50677D"/>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50677D"/>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50677D"/>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50677D"/>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2E02"/>
    <w:pPr>
      <w:autoSpaceDE w:val="0"/>
      <w:autoSpaceDN w:val="0"/>
      <w:adjustRightInd w:val="0"/>
    </w:pPr>
    <w:rPr>
      <w:rFonts w:ascii="Arial" w:hAnsi="Arial" w:cs="Arial"/>
      <w:color w:val="000000"/>
      <w:sz w:val="24"/>
      <w:szCs w:val="24"/>
      <w:lang w:val="en-GB" w:bidi="ar-SA"/>
    </w:rPr>
  </w:style>
  <w:style w:type="character" w:customStyle="1" w:styleId="L2Char">
    <w:name w:val="L2 Char"/>
    <w:basedOn w:val="DefaultParagraphFont"/>
    <w:link w:val="L2"/>
    <w:locked/>
    <w:rsid w:val="00382E02"/>
    <w:rPr>
      <w:rFonts w:ascii="Arial" w:hAnsi="Arial" w:cs="Arial"/>
    </w:rPr>
  </w:style>
  <w:style w:type="paragraph" w:customStyle="1" w:styleId="L2">
    <w:name w:val="L2"/>
    <w:basedOn w:val="Normal"/>
    <w:link w:val="L2Char"/>
    <w:rsid w:val="00382E02"/>
    <w:pPr>
      <w:ind w:left="720" w:hanging="720"/>
    </w:pPr>
    <w:rPr>
      <w:rFonts w:eastAsia="Calibri" w:cs="Arial"/>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50677D"/>
    <w:pPr>
      <w:ind w:left="720"/>
      <w:contextualSpacing/>
    </w:pPr>
  </w:style>
  <w:style w:type="character" w:customStyle="1" w:styleId="Heading1Char">
    <w:name w:val="Heading 1 Char"/>
    <w:basedOn w:val="DefaultParagraphFont"/>
    <w:link w:val="Heading1"/>
    <w:uiPriority w:val="9"/>
    <w:rsid w:val="0050677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50677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50677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50677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50677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50677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50677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50677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50677D"/>
    <w:rPr>
      <w:rFonts w:asciiTheme="majorHAnsi" w:eastAsiaTheme="majorEastAsia" w:hAnsiTheme="majorHAnsi" w:cstheme="majorBidi"/>
      <w:i/>
      <w:iCs/>
      <w:color w:val="9BBB59" w:themeColor="accent3"/>
      <w:sz w:val="20"/>
      <w:szCs w:val="20"/>
    </w:rPr>
  </w:style>
  <w:style w:type="numbering" w:styleId="ArticleSection">
    <w:name w:val="Outline List 3"/>
    <w:basedOn w:val="NoList"/>
    <w:rsid w:val="00382E02"/>
    <w:pPr>
      <w:numPr>
        <w:numId w:val="1"/>
      </w:numPr>
    </w:pPr>
  </w:style>
  <w:style w:type="paragraph" w:customStyle="1" w:styleId="N1">
    <w:name w:val="N1"/>
    <w:basedOn w:val="Normal"/>
    <w:rsid w:val="00382E02"/>
    <w:pPr>
      <w:spacing w:before="160" w:line="220" w:lineRule="atLeast"/>
      <w:jc w:val="both"/>
    </w:pPr>
    <w:rPr>
      <w:rFonts w:ascii="Times New Roman" w:eastAsia="Times New Roman" w:hAnsi="Times New Roman"/>
      <w:sz w:val="21"/>
      <w:szCs w:val="20"/>
    </w:rPr>
  </w:style>
  <w:style w:type="paragraph" w:styleId="ListBullet">
    <w:name w:val="List Bullet"/>
    <w:basedOn w:val="Normal"/>
    <w:uiPriority w:val="99"/>
    <w:rsid w:val="00382E02"/>
    <w:pPr>
      <w:numPr>
        <w:numId w:val="2"/>
      </w:numPr>
    </w:pPr>
    <w:rPr>
      <w:rFonts w:ascii="Times New Roman" w:eastAsia="Times New Roman" w:hAnsi="Times New Roman"/>
      <w:sz w:val="24"/>
      <w:szCs w:val="24"/>
    </w:rPr>
  </w:style>
  <w:style w:type="character" w:styleId="Hyperlink">
    <w:name w:val="Hyperlink"/>
    <w:basedOn w:val="DefaultParagraphFont"/>
    <w:uiPriority w:val="99"/>
    <w:semiHidden/>
    <w:unhideWhenUsed/>
    <w:rsid w:val="00AD68BC"/>
    <w:rPr>
      <w:color w:val="0065BD"/>
      <w:u w:val="single"/>
    </w:rPr>
  </w:style>
  <w:style w:type="character" w:styleId="Emphasis">
    <w:name w:val="Emphasis"/>
    <w:uiPriority w:val="20"/>
    <w:qFormat/>
    <w:rsid w:val="0050677D"/>
    <w:rPr>
      <w:b/>
      <w:bCs/>
      <w:i/>
      <w:iCs/>
      <w:color w:val="5A5A5A" w:themeColor="text1" w:themeTint="A5"/>
    </w:rPr>
  </w:style>
  <w:style w:type="character" w:styleId="FollowedHyperlink">
    <w:name w:val="FollowedHyperlink"/>
    <w:basedOn w:val="DefaultParagraphFont"/>
    <w:uiPriority w:val="99"/>
    <w:semiHidden/>
    <w:unhideWhenUsed/>
    <w:rsid w:val="00BE756A"/>
    <w:rPr>
      <w:color w:val="800080"/>
      <w:u w:val="single"/>
    </w:rPr>
  </w:style>
  <w:style w:type="paragraph" w:styleId="BodyText">
    <w:name w:val="Body Text"/>
    <w:basedOn w:val="Normal"/>
    <w:link w:val="BodyTextChar"/>
    <w:rsid w:val="00276D14"/>
    <w:pPr>
      <w:suppressAutoHyphens/>
    </w:pPr>
    <w:rPr>
      <w:rFonts w:eastAsia="Times New Roman" w:cs="Arial"/>
      <w:sz w:val="20"/>
      <w:szCs w:val="24"/>
      <w:lang w:eastAsia="zh-CN"/>
    </w:rPr>
  </w:style>
  <w:style w:type="character" w:customStyle="1" w:styleId="BodyTextChar">
    <w:name w:val="Body Text Char"/>
    <w:basedOn w:val="DefaultParagraphFont"/>
    <w:link w:val="BodyText"/>
    <w:rsid w:val="00276D14"/>
    <w:rPr>
      <w:rFonts w:ascii="Arial" w:eastAsia="Times New Roman" w:hAnsi="Arial" w:cs="Arial"/>
      <w:szCs w:val="24"/>
      <w:lang w:eastAsia="zh-CN"/>
    </w:rPr>
  </w:style>
  <w:style w:type="paragraph" w:customStyle="1" w:styleId="L1">
    <w:name w:val="L1"/>
    <w:basedOn w:val="Heading3"/>
    <w:rsid w:val="00457719"/>
    <w:pPr>
      <w:tabs>
        <w:tab w:val="left" w:pos="720"/>
      </w:tabs>
      <w:spacing w:before="0" w:after="0"/>
      <w:ind w:left="720" w:hanging="720"/>
    </w:pPr>
    <w:rPr>
      <w:rFonts w:eastAsia="Times New Roman" w:cs="Times New Roman"/>
      <w:bCs/>
    </w:rPr>
  </w:style>
  <w:style w:type="numbering" w:customStyle="1" w:styleId="StyleBulletedSymbolsymbolLeft05Hanging025">
    <w:name w:val="Style Bulleted Symbol (symbol) Left:  0.5&quot; Hanging:  0.25&quot;"/>
    <w:basedOn w:val="NoList"/>
    <w:rsid w:val="00457719"/>
    <w:pPr>
      <w:numPr>
        <w:numId w:val="3"/>
      </w:numPr>
    </w:pPr>
  </w:style>
  <w:style w:type="table" w:styleId="TableGrid">
    <w:name w:val="Table Grid"/>
    <w:basedOn w:val="TableNormal"/>
    <w:uiPriority w:val="59"/>
    <w:rsid w:val="004577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57719"/>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457719"/>
    <w:rPr>
      <w:rFonts w:ascii="Tahoma" w:eastAsia="Times New Roman" w:hAnsi="Tahoma" w:cs="Tahoma"/>
      <w:sz w:val="16"/>
      <w:szCs w:val="16"/>
    </w:rPr>
  </w:style>
  <w:style w:type="paragraph" w:styleId="Header">
    <w:name w:val="header"/>
    <w:basedOn w:val="Normal"/>
    <w:link w:val="HeaderChar"/>
    <w:uiPriority w:val="99"/>
    <w:rsid w:val="00457719"/>
    <w:pPr>
      <w:tabs>
        <w:tab w:val="center" w:pos="4153"/>
        <w:tab w:val="right" w:pos="8306"/>
      </w:tabs>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457719"/>
    <w:rPr>
      <w:rFonts w:ascii="Times New Roman" w:eastAsia="Times New Roman" w:hAnsi="Times New Roman"/>
      <w:sz w:val="24"/>
      <w:szCs w:val="24"/>
    </w:rPr>
  </w:style>
  <w:style w:type="paragraph" w:styleId="Footer">
    <w:name w:val="footer"/>
    <w:basedOn w:val="Normal"/>
    <w:link w:val="FooterChar"/>
    <w:uiPriority w:val="99"/>
    <w:rsid w:val="00457719"/>
    <w:pPr>
      <w:tabs>
        <w:tab w:val="center" w:pos="4153"/>
        <w:tab w:val="right" w:pos="8306"/>
      </w:tabs>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457719"/>
    <w:rPr>
      <w:rFonts w:ascii="Times New Roman" w:eastAsia="Times New Roman" w:hAnsi="Times New Roman"/>
      <w:sz w:val="24"/>
      <w:szCs w:val="24"/>
    </w:rPr>
  </w:style>
  <w:style w:type="numbering" w:customStyle="1" w:styleId="StyleNumbered1">
    <w:name w:val="Style Numbered1"/>
    <w:basedOn w:val="NoList"/>
    <w:semiHidden/>
    <w:rsid w:val="00457719"/>
    <w:pPr>
      <w:numPr>
        <w:numId w:val="4"/>
      </w:numPr>
    </w:pPr>
  </w:style>
  <w:style w:type="paragraph" w:customStyle="1" w:styleId="TableContents">
    <w:name w:val="Table Contents"/>
    <w:basedOn w:val="Normal"/>
    <w:rsid w:val="00457719"/>
    <w:pPr>
      <w:widowControl w:val="0"/>
      <w:suppressLineNumbers/>
      <w:suppressAutoHyphens/>
      <w:spacing w:after="200" w:line="276" w:lineRule="auto"/>
    </w:pPr>
    <w:rPr>
      <w:rFonts w:ascii="Times New Roman" w:eastAsia="Arial Unicode MS" w:hAnsi="Times New Roman" w:cs="Arial Unicode MS"/>
      <w:sz w:val="24"/>
      <w:szCs w:val="24"/>
      <w:lang w:eastAsia="zh-CN" w:bidi="hi-IN"/>
    </w:rPr>
  </w:style>
  <w:style w:type="paragraph" w:styleId="Revision">
    <w:name w:val="Revision"/>
    <w:hidden/>
    <w:uiPriority w:val="99"/>
    <w:semiHidden/>
    <w:rsid w:val="00457719"/>
    <w:rPr>
      <w:rFonts w:ascii="Times New Roman" w:eastAsia="Times New Roman" w:hAnsi="Times New Roman"/>
      <w:sz w:val="24"/>
      <w:szCs w:val="24"/>
      <w:lang w:val="en-GB" w:eastAsia="en-GB" w:bidi="ar-SA"/>
    </w:rPr>
  </w:style>
  <w:style w:type="paragraph" w:styleId="Caption">
    <w:name w:val="caption"/>
    <w:basedOn w:val="Normal"/>
    <w:next w:val="Normal"/>
    <w:uiPriority w:val="35"/>
    <w:semiHidden/>
    <w:unhideWhenUsed/>
    <w:qFormat/>
    <w:rsid w:val="0050677D"/>
    <w:rPr>
      <w:b/>
      <w:bCs/>
      <w:sz w:val="18"/>
      <w:szCs w:val="18"/>
    </w:rPr>
  </w:style>
  <w:style w:type="paragraph" w:styleId="Title">
    <w:name w:val="Title"/>
    <w:basedOn w:val="Normal"/>
    <w:next w:val="Normal"/>
    <w:link w:val="TitleChar"/>
    <w:uiPriority w:val="10"/>
    <w:qFormat/>
    <w:rsid w:val="0050677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0677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0677D"/>
    <w:pPr>
      <w:spacing w:before="200" w:after="900"/>
      <w:jc w:val="right"/>
    </w:pPr>
    <w:rPr>
      <w:i/>
      <w:iCs/>
      <w:sz w:val="24"/>
      <w:szCs w:val="24"/>
    </w:rPr>
  </w:style>
  <w:style w:type="character" w:customStyle="1" w:styleId="SubtitleChar">
    <w:name w:val="Subtitle Char"/>
    <w:basedOn w:val="DefaultParagraphFont"/>
    <w:link w:val="Subtitle"/>
    <w:uiPriority w:val="11"/>
    <w:rsid w:val="0050677D"/>
    <w:rPr>
      <w:rFonts w:asciiTheme="minorHAnsi"/>
      <w:i/>
      <w:iCs/>
      <w:sz w:val="24"/>
      <w:szCs w:val="24"/>
    </w:rPr>
  </w:style>
  <w:style w:type="character" w:styleId="Strong">
    <w:name w:val="Strong"/>
    <w:basedOn w:val="DefaultParagraphFont"/>
    <w:uiPriority w:val="22"/>
    <w:qFormat/>
    <w:rsid w:val="0050677D"/>
    <w:rPr>
      <w:b/>
      <w:bCs/>
      <w:spacing w:val="0"/>
    </w:rPr>
  </w:style>
  <w:style w:type="paragraph" w:styleId="NoSpacing">
    <w:name w:val="No Spacing"/>
    <w:basedOn w:val="Normal"/>
    <w:link w:val="NoSpacingChar"/>
    <w:uiPriority w:val="1"/>
    <w:qFormat/>
    <w:rsid w:val="0050677D"/>
  </w:style>
  <w:style w:type="character" w:customStyle="1" w:styleId="NoSpacingChar">
    <w:name w:val="No Spacing Char"/>
    <w:basedOn w:val="DefaultParagraphFont"/>
    <w:link w:val="NoSpacing"/>
    <w:uiPriority w:val="1"/>
    <w:rsid w:val="0050677D"/>
  </w:style>
  <w:style w:type="paragraph" w:styleId="Quote">
    <w:name w:val="Quote"/>
    <w:basedOn w:val="Normal"/>
    <w:next w:val="Normal"/>
    <w:link w:val="QuoteChar"/>
    <w:uiPriority w:val="29"/>
    <w:qFormat/>
    <w:rsid w:val="0050677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0677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0677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0677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0677D"/>
    <w:rPr>
      <w:i/>
      <w:iCs/>
      <w:color w:val="5A5A5A" w:themeColor="text1" w:themeTint="A5"/>
    </w:rPr>
  </w:style>
  <w:style w:type="character" w:styleId="IntenseEmphasis">
    <w:name w:val="Intense Emphasis"/>
    <w:uiPriority w:val="21"/>
    <w:qFormat/>
    <w:rsid w:val="0050677D"/>
    <w:rPr>
      <w:b/>
      <w:bCs/>
      <w:i/>
      <w:iCs/>
      <w:color w:val="4F81BD" w:themeColor="accent1"/>
      <w:sz w:val="22"/>
      <w:szCs w:val="22"/>
    </w:rPr>
  </w:style>
  <w:style w:type="character" w:styleId="SubtleReference">
    <w:name w:val="Subtle Reference"/>
    <w:uiPriority w:val="31"/>
    <w:qFormat/>
    <w:rsid w:val="0050677D"/>
    <w:rPr>
      <w:color w:val="auto"/>
      <w:u w:val="single" w:color="9BBB59" w:themeColor="accent3"/>
    </w:rPr>
  </w:style>
  <w:style w:type="character" w:styleId="IntenseReference">
    <w:name w:val="Intense Reference"/>
    <w:basedOn w:val="DefaultParagraphFont"/>
    <w:uiPriority w:val="32"/>
    <w:qFormat/>
    <w:rsid w:val="0050677D"/>
    <w:rPr>
      <w:b/>
      <w:bCs/>
      <w:color w:val="76923C" w:themeColor="accent3" w:themeShade="BF"/>
      <w:u w:val="single" w:color="9BBB59" w:themeColor="accent3"/>
    </w:rPr>
  </w:style>
  <w:style w:type="character" w:styleId="BookTitle">
    <w:name w:val="Book Title"/>
    <w:basedOn w:val="DefaultParagraphFont"/>
    <w:uiPriority w:val="33"/>
    <w:qFormat/>
    <w:rsid w:val="0050677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0677D"/>
    <w:pPr>
      <w:outlineLvl w:val="9"/>
    </w:pPr>
  </w:style>
  <w:style w:type="character" w:styleId="CommentReference">
    <w:name w:val="annotation reference"/>
    <w:basedOn w:val="DefaultParagraphFont"/>
    <w:semiHidden/>
    <w:rsid w:val="00B41DA7"/>
    <w:rPr>
      <w:sz w:val="16"/>
      <w:szCs w:val="16"/>
    </w:rPr>
  </w:style>
  <w:style w:type="paragraph" w:styleId="CommentText">
    <w:name w:val="annotation text"/>
    <w:basedOn w:val="Normal"/>
    <w:link w:val="CommentTextChar"/>
    <w:semiHidden/>
    <w:rsid w:val="00B41DA7"/>
    <w:rPr>
      <w:rFonts w:ascii="Times New Roman" w:eastAsia="Times New Roman" w:hAnsi="Times New Roman" w:cs="Times New Roman"/>
      <w:sz w:val="20"/>
      <w:szCs w:val="20"/>
      <w:lang w:val="en-GB" w:eastAsia="en-GB" w:bidi="ar-SA"/>
    </w:rPr>
  </w:style>
  <w:style w:type="character" w:customStyle="1" w:styleId="CommentTextChar">
    <w:name w:val="Comment Text Char"/>
    <w:basedOn w:val="DefaultParagraphFont"/>
    <w:link w:val="CommentText"/>
    <w:semiHidden/>
    <w:rsid w:val="00B41DA7"/>
    <w:rPr>
      <w:rFonts w:ascii="Times New Roman" w:eastAsia="Times New Roman" w:hAnsi="Times New Roman" w:cs="Times New Roman"/>
      <w:sz w:val="20"/>
      <w:szCs w:val="20"/>
      <w:lang w:val="en-GB" w:eastAsia="en-GB" w:bidi="ar-SA"/>
    </w:rPr>
  </w:style>
  <w:style w:type="character" w:styleId="PageNumber">
    <w:name w:val="page number"/>
    <w:basedOn w:val="DefaultParagraphFont"/>
    <w:rsid w:val="00787706"/>
    <w:rPr>
      <w:rFonts w:cs="Times New Roman"/>
    </w:rPr>
  </w:style>
  <w:style w:type="paragraph" w:styleId="CommentSubject">
    <w:name w:val="annotation subject"/>
    <w:basedOn w:val="CommentText"/>
    <w:next w:val="CommentText"/>
    <w:link w:val="CommentSubjectChar"/>
    <w:uiPriority w:val="99"/>
    <w:semiHidden/>
    <w:unhideWhenUsed/>
    <w:rsid w:val="00B31C45"/>
    <w:rPr>
      <w:rFonts w:ascii="Arial" w:eastAsiaTheme="minorEastAsia" w:hAnsi="Arial" w:cstheme="minorBidi"/>
      <w:b/>
      <w:bCs/>
      <w:lang w:val="en-US" w:eastAsia="en-US" w:bidi="en-US"/>
    </w:rPr>
  </w:style>
  <w:style w:type="character" w:customStyle="1" w:styleId="CommentSubjectChar">
    <w:name w:val="Comment Subject Char"/>
    <w:basedOn w:val="CommentTextChar"/>
    <w:link w:val="CommentSubject"/>
    <w:uiPriority w:val="99"/>
    <w:semiHidden/>
    <w:rsid w:val="00B31C45"/>
    <w:rPr>
      <w:rFonts w:ascii="Arial" w:eastAsia="Times New Roman" w:hAnsi="Arial" w:cs="Times New Roman"/>
      <w:b/>
      <w:bCs/>
      <w:sz w:val="20"/>
      <w:szCs w:val="20"/>
      <w:lang w:val="en-GB" w:eastAsia="en-GB" w:bidi="ar-SA"/>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rsid w:val="001338F3"/>
    <w:rPr>
      <w:rFonts w:ascii="Arial" w:hAnsi="Arial"/>
    </w:rPr>
  </w:style>
  <w:style w:type="paragraph" w:styleId="NormalWeb">
    <w:name w:val="Normal (Web)"/>
    <w:basedOn w:val="Normal"/>
    <w:uiPriority w:val="99"/>
    <w:unhideWhenUsed/>
    <w:rsid w:val="0082379A"/>
    <w:pPr>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0387">
      <w:bodyDiv w:val="1"/>
      <w:marLeft w:val="0"/>
      <w:marRight w:val="0"/>
      <w:marTop w:val="0"/>
      <w:marBottom w:val="0"/>
      <w:divBdr>
        <w:top w:val="none" w:sz="0" w:space="0" w:color="auto"/>
        <w:left w:val="none" w:sz="0" w:space="0" w:color="auto"/>
        <w:bottom w:val="none" w:sz="0" w:space="0" w:color="auto"/>
        <w:right w:val="none" w:sz="0" w:space="0" w:color="auto"/>
      </w:divBdr>
      <w:divsChild>
        <w:div w:id="1261795036">
          <w:marLeft w:val="0"/>
          <w:marRight w:val="0"/>
          <w:marTop w:val="0"/>
          <w:marBottom w:val="0"/>
          <w:divBdr>
            <w:top w:val="none" w:sz="0" w:space="0" w:color="auto"/>
            <w:left w:val="none" w:sz="0" w:space="0" w:color="auto"/>
            <w:bottom w:val="none" w:sz="0" w:space="0" w:color="auto"/>
            <w:right w:val="none" w:sz="0" w:space="0" w:color="auto"/>
          </w:divBdr>
          <w:divsChild>
            <w:div w:id="1266695648">
              <w:marLeft w:val="0"/>
              <w:marRight w:val="0"/>
              <w:marTop w:val="0"/>
              <w:marBottom w:val="0"/>
              <w:divBdr>
                <w:top w:val="none" w:sz="0" w:space="0" w:color="auto"/>
                <w:left w:val="none" w:sz="0" w:space="0" w:color="auto"/>
                <w:bottom w:val="none" w:sz="0" w:space="0" w:color="auto"/>
                <w:right w:val="none" w:sz="0" w:space="0" w:color="auto"/>
              </w:divBdr>
              <w:divsChild>
                <w:div w:id="118646256">
                  <w:marLeft w:val="0"/>
                  <w:marRight w:val="0"/>
                  <w:marTop w:val="0"/>
                  <w:marBottom w:val="0"/>
                  <w:divBdr>
                    <w:top w:val="none" w:sz="0" w:space="0" w:color="auto"/>
                    <w:left w:val="none" w:sz="0" w:space="0" w:color="auto"/>
                    <w:bottom w:val="none" w:sz="0" w:space="0" w:color="auto"/>
                    <w:right w:val="none" w:sz="0" w:space="0" w:color="auto"/>
                  </w:divBdr>
                  <w:divsChild>
                    <w:div w:id="856773478">
                      <w:marLeft w:val="0"/>
                      <w:marRight w:val="0"/>
                      <w:marTop w:val="0"/>
                      <w:marBottom w:val="0"/>
                      <w:divBdr>
                        <w:top w:val="none" w:sz="0" w:space="0" w:color="auto"/>
                        <w:left w:val="none" w:sz="0" w:space="0" w:color="auto"/>
                        <w:bottom w:val="none" w:sz="0" w:space="0" w:color="auto"/>
                        <w:right w:val="none" w:sz="0" w:space="0" w:color="auto"/>
                      </w:divBdr>
                      <w:divsChild>
                        <w:div w:id="2103797361">
                          <w:marLeft w:val="0"/>
                          <w:marRight w:val="0"/>
                          <w:marTop w:val="0"/>
                          <w:marBottom w:val="0"/>
                          <w:divBdr>
                            <w:top w:val="none" w:sz="0" w:space="0" w:color="auto"/>
                            <w:left w:val="none" w:sz="0" w:space="0" w:color="auto"/>
                            <w:bottom w:val="none" w:sz="0" w:space="0" w:color="auto"/>
                            <w:right w:val="none" w:sz="0" w:space="0" w:color="auto"/>
                          </w:divBdr>
                          <w:divsChild>
                            <w:div w:id="13307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89595">
      <w:bodyDiv w:val="1"/>
      <w:marLeft w:val="0"/>
      <w:marRight w:val="0"/>
      <w:marTop w:val="0"/>
      <w:marBottom w:val="0"/>
      <w:divBdr>
        <w:top w:val="none" w:sz="0" w:space="0" w:color="auto"/>
        <w:left w:val="none" w:sz="0" w:space="0" w:color="auto"/>
        <w:bottom w:val="none" w:sz="0" w:space="0" w:color="auto"/>
        <w:right w:val="none" w:sz="0" w:space="0" w:color="auto"/>
      </w:divBdr>
    </w:div>
    <w:div w:id="1352339796">
      <w:bodyDiv w:val="1"/>
      <w:marLeft w:val="0"/>
      <w:marRight w:val="0"/>
      <w:marTop w:val="0"/>
      <w:marBottom w:val="0"/>
      <w:divBdr>
        <w:top w:val="none" w:sz="0" w:space="0" w:color="auto"/>
        <w:left w:val="none" w:sz="0" w:space="0" w:color="auto"/>
        <w:bottom w:val="none" w:sz="0" w:space="0" w:color="auto"/>
        <w:right w:val="none" w:sz="0" w:space="0" w:color="auto"/>
      </w:divBdr>
    </w:div>
    <w:div w:id="1881626421">
      <w:bodyDiv w:val="1"/>
      <w:marLeft w:val="0"/>
      <w:marRight w:val="0"/>
      <w:marTop w:val="0"/>
      <w:marBottom w:val="0"/>
      <w:divBdr>
        <w:top w:val="none" w:sz="0" w:space="0" w:color="auto"/>
        <w:left w:val="none" w:sz="0" w:space="0" w:color="auto"/>
        <w:bottom w:val="none" w:sz="0" w:space="0" w:color="auto"/>
        <w:right w:val="none" w:sz="0" w:space="0" w:color="auto"/>
      </w:divBdr>
    </w:div>
    <w:div w:id="194683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76807-5225-4A61-92AB-4FE5C45F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4721</Words>
  <Characters>26915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Sustainable Economic Growth</vt:lpstr>
    </vt:vector>
  </TitlesOfParts>
  <Company>South Lanarkshire Council</Company>
  <LinksUpToDate>false</LinksUpToDate>
  <CharactersWithSpaces>31573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Economic Growth</dc:title>
  <dc:creator> </dc:creator>
  <cp:lastModifiedBy>Paterson, Eleanor</cp:lastModifiedBy>
  <cp:revision>6</cp:revision>
  <cp:lastPrinted>2018-03-12T08:37:00Z</cp:lastPrinted>
  <dcterms:created xsi:type="dcterms:W3CDTF">2018-10-04T10:47:00Z</dcterms:created>
  <dcterms:modified xsi:type="dcterms:W3CDTF">2018-12-05T09:53:00Z</dcterms:modified>
</cp:coreProperties>
</file>